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Liberation Serif" w:hAnsi="Liberation Serif" w:cs="Liberation Serif"/>
          <w:b/>
          <w:color w:val="000000" w:themeColor="text1"/>
          <w:sz w:val="24"/>
          <w:szCs w:val="24"/>
          <w:highlight w:val="white"/>
        </w:rPr>
      </w:pPr>
      <w:r/>
      <w:bookmarkStart w:id="0" w:name="_Hlk243323972"/>
      <w:r>
        <w:rPr>
          <w:rFonts w:ascii="Liberation Serif" w:hAnsi="Liberation Serif" w:eastAsia="Liberation Serif" w:cs="Liberation Serif"/>
          <w:b/>
          <w:color w:val="000000" w:themeColor="text1"/>
          <w:sz w:val="24"/>
          <w:szCs w:val="24"/>
          <w:highlight w:val="white"/>
        </w:rPr>
        <w:t xml:space="preserve">Техническое задание </w:t>
      </w:r>
      <w:r>
        <w:rPr>
          <w:rFonts w:ascii="Liberation Serif" w:hAnsi="Liberation Serif" w:cs="Liberation Serif"/>
          <w:b/>
          <w:color w:val="000000" w:themeColor="text1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на оказание транспортных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услуг по перевозке негабаритных грузов автомобильным транспортом, включая погрузочно-разгрузочные работы (ПРР)</w:t>
      </w:r>
      <w:bookmarkEnd w:id="0"/>
      <w:r/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</w:p>
    <w:p>
      <w:pPr>
        <w:ind w:firstLine="567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i/>
          <w:iCs/>
          <w:color w:val="000000" w:themeColor="text1"/>
          <w:sz w:val="24"/>
          <w:szCs w:val="24"/>
          <w:highlight w:val="white"/>
        </w:rPr>
        <w:t xml:space="preserve">код ОКПД2: </w:t>
      </w:r>
      <w:r>
        <w:rPr>
          <w:rFonts w:ascii="Liberation Serif" w:hAnsi="Liberation Serif" w:eastAsia="Liberation Serif" w:cs="Liberation Serif"/>
          <w:i/>
          <w:iCs/>
          <w:color w:val="000000" w:themeColor="text1"/>
          <w:sz w:val="24"/>
          <w:szCs w:val="24"/>
          <w:highlight w:val="white"/>
        </w:rPr>
        <w:t xml:space="preserve">49.41.19.900 -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i/>
          <w:iCs/>
          <w:color w:val="000000" w:themeColor="text1"/>
          <w:sz w:val="24"/>
          <w:szCs w:val="24"/>
          <w:highlight w:val="white"/>
        </w:rPr>
        <w:t xml:space="preserve">Услуги по перевозке грузов автомобильным транспортом прочие, не включенные в другие группировки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4"/>
        </w:numPr>
        <w:ind w:left="0" w:firstLine="426"/>
        <w:jc w:val="both"/>
        <w:spacing w:after="0" w:line="240" w:lineRule="auto"/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highlight w:val="white"/>
        </w:rPr>
        <w:t xml:space="preserve">Цель: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Оказание </w:t>
      </w:r>
      <w:r>
        <w:rPr>
          <w:rFonts w:ascii="Liberation Serif" w:hAnsi="Liberation Serif" w:eastAsia="Liberation Serif" w:cs="Liberation Serif"/>
          <w:color w:val="ee0000"/>
          <w:sz w:val="24"/>
          <w:szCs w:val="24"/>
          <w:highlight w:val="white"/>
        </w:rPr>
        <w:t xml:space="preserve">транспортных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услуг по перевозке негабаритных грузов (определенные в п. 5 Технического задания) по заданиям Заказчика, транспортными средствами Исполнителя, включая погрузо-разгрузочные работы (далее – услуги). Услуги оказываются Исполнителем в рам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ках реализации Заказчиком мероприятий по обустройству и содержанию инфраструктуры полигона водородной энергетики в Нефритовой долине Ямало-Ненецкого автономного округа в рамках создания международной арктической станции «Снежинка» (далее – МАС «Снежинка»).</w:t>
      </w: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4"/>
        </w:numPr>
        <w:ind w:left="0"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highlight w:val="white"/>
        </w:rPr>
        <w:t xml:space="preserve">Срок оказания услуг: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с момента заключения Договора до 31.03.2027 г (включительно).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4"/>
        </w:numPr>
        <w:ind w:left="0"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highlight w:val="white"/>
        </w:rPr>
        <w:t xml:space="preserve">Маршрут и условия транспортировки: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993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/>
      <w:bookmarkStart w:id="1" w:name="_Hlk243324338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Пункт отправления</w:t>
      </w:r>
      <w:bookmarkEnd w:id="1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: станция Обская (Ямало-Ненецкий автономный округ).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851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/>
      <w:bookmarkStart w:id="2" w:name="_Hlk243324348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Пункт назначения:</w:t>
      </w:r>
      <w:bookmarkEnd w:id="2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земельный участок с кадастровым номером 89:02:011203:177, предназначенный для строительства МАС «Снежинка» (Ямало-Ненецкий автономный округ, Приуральский район).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851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  <w:u w:val="single"/>
        </w:rPr>
        <w:t xml:space="preserve">Характеристика маршрута: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Ориентировочная протяженность 68,4 км (из них 42 км по асфальтированной дороге, 26,4 км –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по бездорожью в условиях Крайнего Севера).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ind w:left="0" w:firstLine="426"/>
        <w:jc w:val="both"/>
        <w:spacing w:after="0" w:line="240" w:lineRule="auto"/>
        <w:tabs>
          <w:tab w:val="left" w:pos="851" w:leader="none"/>
        </w:tabs>
        <w:rPr>
          <w:rFonts w:ascii="Liberation Serif" w:hAnsi="Liberation Serif" w:cs="Liberation Serif"/>
          <w:i/>
          <w:iCs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i/>
          <w:iCs/>
          <w:color w:val="000000" w:themeColor="text1"/>
          <w:sz w:val="24"/>
          <w:szCs w:val="24"/>
          <w:highlight w:val="white"/>
        </w:rPr>
        <w:t xml:space="preserve">Точный адрес отправления указывается Заказчиком в задании на оказание транспортных услуг при заключении договора.</w:t>
      </w:r>
      <w:r>
        <w:rPr>
          <w:rFonts w:ascii="Liberation Serif" w:hAnsi="Liberation Serif" w:cs="Liberation Serif"/>
          <w:i/>
          <w:iCs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851" w:leader="none"/>
        </w:tabs>
        <w:rPr>
          <w:rFonts w:ascii="Liberation Serif" w:hAnsi="Liberation Serif" w:cs="Liberation Serif"/>
          <w:i/>
          <w:iCs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 Время и дата отправления каждого отдельного рейса согласовываются Сторонами, путем подписания Задания на оказание транспортных услуг. Исполнитель направляет со своей стороны подписанное задание не позднее чем за 48 часа до начала погрузки. </w:t>
      </w:r>
      <w:r>
        <w:rPr>
          <w:rFonts w:ascii="Liberation Serif" w:hAnsi="Liberation Serif" w:cs="Liberation Serif"/>
          <w:i/>
          <w:iCs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4"/>
        </w:numPr>
        <w:ind w:left="0" w:firstLine="360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highlight w:val="white"/>
        </w:rPr>
        <w:t xml:space="preserve">Стоимость и порядок оплаты услуг: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993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Стоимость услуг определенные в п. 1. Технического задания, включают в себя все расходы Исполнителя, связанные с оказанием услуг, в том числе: расходы по перевозке, погрузочно-разгрузочные работы в пункте отправления и в пункте назначения, а также Исполните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ль обязуется самостоятельно и за свой счет оформить специальное разрешение на перевозку тяжеловесных и (или) крупногабаритных грузов по автомобильным дорогам федерального значения и городским дорогам общего пользования, оплатить все предусмотренные законод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ательством пошлины и сборы, и нести полную материальную ответственность за сохранность груза на протяжении всего маршрута.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993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zh-CN"/>
        </w:rPr>
        <w:t xml:space="preserve">Оплата оказанных услуг осуществляется Заказчиком не позднее 7 (семи) рабочих дней со дня подписания приемо-сдаточной документации (актов о приемке оказанных услуг (или УПД), реестров путевых листов, оформленных в соответствии с законодательством РФ).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4"/>
        </w:numPr>
        <w:ind w:left="0" w:firstLine="426"/>
        <w:jc w:val="both"/>
        <w:spacing w:after="0" w:line="240" w:lineRule="auto"/>
        <w:tabs>
          <w:tab w:val="left" w:pos="851" w:leader="none"/>
        </w:tabs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highlight w:val="white"/>
        </w:rPr>
        <w:t xml:space="preserve">Характеристика и объем груза:</w:t>
      </w: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</w:p>
    <w:tbl>
      <w:tblPr>
        <w:tblStyle w:val="868"/>
        <w:tblW w:w="9918" w:type="dxa"/>
        <w:tblLook w:val="04A0" w:firstRow="1" w:lastRow="0" w:firstColumn="1" w:lastColumn="0" w:noHBand="0" w:noVBand="1"/>
      </w:tblPr>
      <w:tblGrid>
        <w:gridCol w:w="562"/>
        <w:gridCol w:w="7513"/>
        <w:gridCol w:w="851"/>
        <w:gridCol w:w="992"/>
      </w:tblGrid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№ п/п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Наименование объекта (негабаритный груз) и его технические характеристики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Ед. изм.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Кол-во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«Жилой на 4 человека»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7,5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«Жилой на санях на 2 человека»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7,5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«Офис из одного вагона на санях»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7,5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«Офис переговорная на санях»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7,5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«Столовая на 12 человек из одного вагона на санях»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8,5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«Душевая на санях»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8,5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«Прачечная с сушилкой на санях»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9,5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«Санузел на санях»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8,5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Вагон-дом «Склад на санях»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9000х3000х3200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7,5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на санях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Ёмкость для хранения ГСМ 25 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  <w:vertAlign w:val="superscript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Объем емкости: 25 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  <w:vertAlign w:val="superscript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размеры: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цилиндрическая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Ёмкость для хранения воды 10 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  <w:vertAlign w:val="superscript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Объем емкости: 10 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  <w:vertAlign w:val="superscript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размеры: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3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цилиндрическая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12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Комплекс водоподготовки ВОС в контейнере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4000х2450х2650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габаритный контейнер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13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Энергокомплекс на базе блок-контейнера БК8 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ДхШхВ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) мм: 8000х2300х2400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7,5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Конструктивные особенности: габаритный контейнер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14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751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Емкость септик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Габаритные размеры: 3000х1500х1600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Вес: 2 т.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штука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pPr>
        <w:pStyle w:val="869"/>
        <w:jc w:val="both"/>
        <w:spacing w:after="0" w:line="240" w:lineRule="auto"/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4"/>
        </w:numPr>
        <w:jc w:val="both"/>
        <w:spacing w:after="0" w:line="240" w:lineRule="auto"/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highlight w:val="white"/>
        </w:rPr>
        <w:t xml:space="preserve">Требования к автотранспорту:</w:t>
      </w:r>
      <w:r>
        <w:rPr>
          <w:rFonts w:ascii="Liberation Serif" w:hAnsi="Liberation Serif" w:cs="Liberation Serif"/>
          <w:b/>
          <w:bCs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993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Перевозка должна осуществляться автомобильным транспортом повышенной проходимости, приспособленным для работы в условиях бездорожья Арктической зоны.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993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Исполнитель обязан своими силами и средствами обеспечить погрузку и выгрузку груза. В местах погрузки и выгрузки груза определенные в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пп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. 3.1., 3.2 настоящего Технического задания Исполнителем предоставляется автокран и квалифицированный персонал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ответственный за погрузку-выгрузку и перевозку груза Заказчика. Грузоподъемность крана должна соответствовать весу груза с учетом вылета стрелы на площадках погрузки и выгрузки. 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993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/>
      <w:bookmarkStart w:id="3" w:name="_Hlk243320414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Все предоставляемые транспортные средства и автомобильные краны должны находиться в полностью исправном техническом состоянии, пройти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необходимое регулярное техническое обслуживание и предрейсовый контроль технического состояния. Наличие подтеканий технологических жидкостей, неисправностей тормозной системы, рулевого управления, внешних световых приборов или ходовой части не допускается.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1"/>
          <w:numId w:val="4"/>
        </w:numPr>
        <w:ind w:left="0" w:firstLine="426"/>
        <w:jc w:val="both"/>
        <w:spacing w:after="0" w:line="240" w:lineRule="auto"/>
        <w:tabs>
          <w:tab w:val="left" w:pos="993" w:leader="none"/>
        </w:tabs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/>
      <w:bookmarkStart w:id="4" w:name="_Hlk243320437"/>
      <w:r/>
      <w:bookmarkEnd w:id="3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Транспортные средства должны быть укомплектованы сертифицированными средствами крепления груза в соответствии с правилами перевозок.</w:t>
      </w:r>
      <w:bookmarkEnd w:id="4"/>
      <w:r/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ind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4"/>
          <w:szCs w:val="24"/>
          <w:highlight w:val="white"/>
        </w:rPr>
        <w:t xml:space="preserve">7. Требование к Исполнителю: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ind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7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.1. Наличие исправной техники повышенной проходимости с экипажем для перевозки груза, имеющим профессиональную квалификацию и право управления данными транспортными средствами. 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ind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7.2. Для производства погрузо-разгрузочных работ, определенных в п. 6.2. настоящего Технического задания, Исполнитель гарантирует наличие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квалифицированного рабочего персонала, специализирующегося на строповке (обвязке) и зацепке грузов для подъема, перемещения и погрузо-разгрузочных работ с помощью грузоподъемных механизмов (кранов, лебедок и прочее), с наличием соответствующих документов. 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ind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7.3. </w:t>
      </w:r>
      <w:bookmarkStart w:id="5" w:name="_Hlk243320549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Наличие действующих разрешительных документов на транспортные средства, которые будут использованы в ходе оказания услуг.</w:t>
      </w:r>
      <w:bookmarkEnd w:id="5"/>
      <w:r/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ind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7.4. Полная материальная ответственность за сохранность груза с момента начала погрузки до окончания выгрузки. </w:t>
      </w:r>
      <w:bookmarkStart w:id="6" w:name="_Hlk243320749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Груз при транспортировке Исполнителем упаковывается соответствующими защитными материалами (защитная пленка, воздушно-пузырьковая пленка, картон, фанера и иные материалы) для сохранения лакокрасочного материала,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  <w:shd w:val="clear" w:color="auto" w:fill="ffffff"/>
        </w:rPr>
        <w:t xml:space="preserve">углов, стыков панелей, краев оконных и дверных проёмов.</w:t>
      </w:r>
      <w:bookmarkEnd w:id="6"/>
      <w:r/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  <w:shd w:val="clear" w:color="auto" w:fill="ffffff"/>
        </w:rPr>
      </w:r>
    </w:p>
    <w:p>
      <w:pPr>
        <w:ind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7.5. </w:t>
      </w:r>
      <w:bookmarkStart w:id="7" w:name="_Hlk243320659"/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Исполнитель обеспечивает заправку автомобилей и спецтехники топливом и всеми необходимыми расходными материалами самостоятельно и за свой счет на весь период оказания услуг. С учетом климатических условий ЯНАО и региона вып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олнения работ, используемое топливо (дизельное топливо, бензин) и смазочные материалы должны строго соответствовать сезону эксплуатации (арктическое/зимнее топливо). Риск простоя техники из-за замерзания или нехватки топлива полностью лежит на Исполнителе.</w:t>
      </w:r>
      <w:bookmarkEnd w:id="7"/>
      <w:r/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ind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highlight w:val="white"/>
        </w:rPr>
        <w:t xml:space="preserve">8. </w:t>
      </w:r>
      <w:r>
        <w:rPr>
          <w:rFonts w:ascii="Liberation Serif" w:hAnsi="Liberation Serif" w:eastAsia="Liberation Serif" w:cs="Liberation Serif"/>
          <w:b/>
          <w:color w:val="000000" w:themeColor="text1"/>
          <w:sz w:val="24"/>
          <w:szCs w:val="24"/>
          <w:highlight w:val="white"/>
        </w:rPr>
        <w:t xml:space="preserve">Требования к безопасности оказываемых услуг: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Оказание услуг должно осуществляться с соблюдением требований технической документации по эксплуатации транспортных средств,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с соблюдением требований Правил дорожного движения и других действующих нормативно-правовых актов РФ, связанных с оказанием услуг по перевозке грузов и погрузо-разгрузочных работ специализированными транспортными средства имеющие грузоподъемные механизмы.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ind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4"/>
          <w:szCs w:val="24"/>
          <w:highlight w:val="white"/>
        </w:rPr>
        <w:t xml:space="preserve">9. Требования к качеству, техническим характеристикам оказываемых услуг: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Качество услуг должно соответствовать действующим нормативным документам Российской Федерации, определяющим порядок перевозки грузов в соответствии: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8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Гражданским кодексом Российской Федерации; 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8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 Федеральным законом от 30.06.2003 № 87-ФЗ «О транспортно-экспедиционной деятельности»;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8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Федеральным законом от 08.11.2007 № 259-ФЗ «Устав автомобильного транспорта и городского наземного электрического транспорта»;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8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Федеральным законом от 10.12.1995 № 196-ФЗ «О безопасности дорожного движения»;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8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Постановлением Правительства РФ от 27.04.2026 № 469 «Об утверждении правил обмена электронными экспедиторскими документами»;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8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Федеральными нормами и правилами (ФНП) в области промышленной безопасности «Правила безопасности опасных производственных объектов, на которых используются подъемные сооружения»;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8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ТР ТС 018/2011 «О безопасности колесных транспортных средств»;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7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highlight w:val="white"/>
        </w:rPr>
        <w:t xml:space="preserve">Постановление Правительства РФ от 01.12.2023 № 2060 «Об утверждении Правил движения тяжеловесных и (или) крупногабаритных транспортных средств»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numPr>
          <w:ilvl w:val="0"/>
          <w:numId w:val="7"/>
        </w:numPr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 и иными действующими нормативно-правовыми актами РФ.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contextualSpacing w:val="0"/>
        <w:ind w:left="0"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4"/>
          <w:szCs w:val="24"/>
          <w:highlight w:val="white"/>
        </w:rPr>
        <w:t xml:space="preserve">10. Гарантии исполнителя оказанных услуг: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contextualSpacing w:val="0"/>
        <w:ind w:left="0"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10.1. Исполнитель должен оказывать все услуги, принятые 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на себя, в строгом соответствии с условиями технического задания. Гарантировать Заказчику возможность использования полученных по Договору результатов без нарушения чьих-либо исключительных прав, гарантировать качество и профессионализм оказываемых услуг. 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contextualSpacing w:val="0"/>
        <w:ind w:left="0"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10.2. Исполнитель гарантирует возместить убытки, вызванные ненадлежащим исполнением обязательств.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p>
      <w:pPr>
        <w:pStyle w:val="869"/>
        <w:contextualSpacing w:val="0"/>
        <w:ind w:left="0" w:firstLine="426"/>
        <w:jc w:val="both"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10.3. Исполнитель гарантирует непрерывность оказания услуг. В случае поломки транспортного средств</w:t>
      </w:r>
      <w:r>
        <w:rPr>
          <w:rFonts w:ascii="Liberation Serif" w:hAnsi="Liberation Serif" w:eastAsia="Liberation Serif" w:cs="Liberation Serif"/>
          <w:color w:val="000000" w:themeColor="text1"/>
          <w:sz w:val="24"/>
          <w:szCs w:val="24"/>
          <w:highlight w:val="white"/>
        </w:rPr>
        <w:t xml:space="preserve">а или автокрана на любом из участков маршрута, Исполнитель гарантирует оперативную замену техники аналогичным транспортом повышенной проходимости за счет своих средств и сил в течение 24 часов с момента остановки, без сдвига конечного срока оказания услуг.</w:t>
      </w:r>
      <w:r>
        <w:rPr>
          <w:rFonts w:ascii="Liberation Serif" w:hAnsi="Liberation Serif" w:cs="Liberation Serif"/>
          <w:color w:val="000000" w:themeColor="text1"/>
          <w:sz w:val="24"/>
          <w:szCs w:val="24"/>
          <w:highlight w:val="white"/>
        </w:rPr>
      </w:r>
    </w:p>
    <w:sectPr>
      <w:footnotePr/>
      <w:endnotePr/>
      <w:type w:val="nextPage"/>
      <w:pgSz w:w="11906" w:h="16838" w:orient="portrait"/>
      <w:pgMar w:top="1134" w:right="851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Courier New">
    <w:panose1 w:val="020703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i w:val="0"/>
        <w:iCs w:val="0"/>
        <w:u w:val="none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3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1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 w:default="1">
    <w:name w:val="Normal"/>
    <w:qFormat/>
  </w:style>
  <w:style w:type="paragraph" w:styleId="671">
    <w:name w:val="Heading 1"/>
    <w:basedOn w:val="670"/>
    <w:next w:val="670"/>
    <w:link w:val="701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72">
    <w:name w:val="Heading 2"/>
    <w:basedOn w:val="670"/>
    <w:next w:val="670"/>
    <w:link w:val="702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73">
    <w:name w:val="Heading 3"/>
    <w:basedOn w:val="670"/>
    <w:next w:val="670"/>
    <w:link w:val="703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74">
    <w:name w:val="Heading 4"/>
    <w:basedOn w:val="670"/>
    <w:next w:val="670"/>
    <w:link w:val="704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5">
    <w:name w:val="Heading 5"/>
    <w:basedOn w:val="670"/>
    <w:next w:val="670"/>
    <w:link w:val="705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6">
    <w:name w:val="Heading 6"/>
    <w:basedOn w:val="670"/>
    <w:next w:val="670"/>
    <w:link w:val="706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77">
    <w:name w:val="Heading 7"/>
    <w:basedOn w:val="670"/>
    <w:next w:val="670"/>
    <w:link w:val="707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78">
    <w:name w:val="Heading 8"/>
    <w:basedOn w:val="670"/>
    <w:next w:val="670"/>
    <w:link w:val="708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79">
    <w:name w:val="Heading 9"/>
    <w:basedOn w:val="670"/>
    <w:next w:val="670"/>
    <w:link w:val="709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character" w:styleId="683" w:customStyle="1">
    <w:name w:val="Heading 1 Char"/>
    <w:basedOn w:val="68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4" w:customStyle="1">
    <w:name w:val="Heading 2 Char"/>
    <w:basedOn w:val="680"/>
    <w:uiPriority w:val="9"/>
    <w:rPr>
      <w:rFonts w:ascii="Liberation Sans" w:hAnsi="Liberation Sans" w:eastAsia="Liberation Sans" w:cs="Liberation Sans"/>
      <w:sz w:val="34"/>
    </w:rPr>
  </w:style>
  <w:style w:type="character" w:styleId="685" w:customStyle="1">
    <w:name w:val="Heading 3 Char"/>
    <w:basedOn w:val="68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6" w:customStyle="1">
    <w:name w:val="Heading 4 Char"/>
    <w:basedOn w:val="68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7" w:customStyle="1">
    <w:name w:val="Heading 5 Char"/>
    <w:basedOn w:val="68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8" w:customStyle="1">
    <w:name w:val="Heading 6 Char"/>
    <w:basedOn w:val="68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9" w:customStyle="1">
    <w:name w:val="Heading 7 Char"/>
    <w:basedOn w:val="68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0" w:customStyle="1">
    <w:name w:val="Heading 8 Char"/>
    <w:basedOn w:val="68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1" w:customStyle="1">
    <w:name w:val="Heading 9 Char"/>
    <w:basedOn w:val="68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 w:customStyle="1">
    <w:name w:val="Title Char"/>
    <w:basedOn w:val="680"/>
    <w:uiPriority w:val="10"/>
    <w:rPr>
      <w:sz w:val="48"/>
      <w:szCs w:val="48"/>
    </w:rPr>
  </w:style>
  <w:style w:type="character" w:styleId="693" w:customStyle="1">
    <w:name w:val="Subtitle Char"/>
    <w:basedOn w:val="680"/>
    <w:uiPriority w:val="11"/>
    <w:rPr>
      <w:sz w:val="24"/>
      <w:szCs w:val="24"/>
    </w:rPr>
  </w:style>
  <w:style w:type="character" w:styleId="694" w:customStyle="1">
    <w:name w:val="Quote Char"/>
    <w:uiPriority w:val="29"/>
    <w:rPr>
      <w:i/>
    </w:rPr>
  </w:style>
  <w:style w:type="character" w:styleId="695" w:customStyle="1">
    <w:name w:val="Intense Quote Char"/>
    <w:uiPriority w:val="30"/>
    <w:rPr>
      <w:i/>
    </w:rPr>
  </w:style>
  <w:style w:type="character" w:styleId="696" w:customStyle="1">
    <w:name w:val="Header Char"/>
    <w:basedOn w:val="680"/>
    <w:uiPriority w:val="99"/>
  </w:style>
  <w:style w:type="character" w:styleId="697" w:customStyle="1">
    <w:name w:val="Footer Char"/>
    <w:basedOn w:val="680"/>
    <w:uiPriority w:val="99"/>
  </w:style>
  <w:style w:type="character" w:styleId="698" w:customStyle="1">
    <w:name w:val="Caption Char"/>
    <w:basedOn w:val="680"/>
    <w:uiPriority w:val="35"/>
    <w:rPr>
      <w:b/>
      <w:bCs/>
      <w:color w:val="4f81bd" w:themeColor="accent1"/>
      <w:sz w:val="18"/>
      <w:szCs w:val="18"/>
    </w:rPr>
  </w:style>
  <w:style w:type="character" w:styleId="699" w:customStyle="1">
    <w:name w:val="Footnote Text Char"/>
    <w:uiPriority w:val="99"/>
    <w:rPr>
      <w:sz w:val="18"/>
    </w:rPr>
  </w:style>
  <w:style w:type="character" w:styleId="700" w:customStyle="1">
    <w:name w:val="Endnote Text Char"/>
    <w:uiPriority w:val="99"/>
    <w:rPr>
      <w:sz w:val="20"/>
    </w:rPr>
  </w:style>
  <w:style w:type="character" w:styleId="701" w:customStyle="1">
    <w:name w:val="Заголовок 1 Знак"/>
    <w:basedOn w:val="680"/>
    <w:link w:val="67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2" w:customStyle="1">
    <w:name w:val="Заголовок 2 Знак"/>
    <w:basedOn w:val="680"/>
    <w:link w:val="672"/>
    <w:uiPriority w:val="9"/>
    <w:rPr>
      <w:rFonts w:ascii="Liberation Sans" w:hAnsi="Liberation Sans" w:eastAsia="Liberation Sans" w:cs="Liberation Sans"/>
      <w:sz w:val="34"/>
    </w:rPr>
  </w:style>
  <w:style w:type="character" w:styleId="703" w:customStyle="1">
    <w:name w:val="Заголовок 3 Знак"/>
    <w:basedOn w:val="680"/>
    <w:link w:val="67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4" w:customStyle="1">
    <w:name w:val="Заголовок 4 Знак"/>
    <w:basedOn w:val="680"/>
    <w:link w:val="67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5" w:customStyle="1">
    <w:name w:val="Заголовок 5 Знак"/>
    <w:basedOn w:val="680"/>
    <w:link w:val="67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6" w:customStyle="1">
    <w:name w:val="Заголовок 6 Знак"/>
    <w:basedOn w:val="680"/>
    <w:link w:val="67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7" w:customStyle="1">
    <w:name w:val="Заголовок 7 Знак"/>
    <w:basedOn w:val="680"/>
    <w:link w:val="67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8" w:customStyle="1">
    <w:name w:val="Заголовок 8 Знак"/>
    <w:basedOn w:val="680"/>
    <w:link w:val="67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9" w:customStyle="1">
    <w:name w:val="Заголовок 9 Знак"/>
    <w:basedOn w:val="680"/>
    <w:link w:val="67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70"/>
    <w:next w:val="670"/>
    <w:link w:val="712"/>
    <w:uiPriority w:val="10"/>
    <w:qFormat/>
    <w:pPr>
      <w:contextualSpacing/>
      <w:spacing w:before="300"/>
    </w:pPr>
    <w:rPr>
      <w:sz w:val="48"/>
      <w:szCs w:val="48"/>
    </w:rPr>
  </w:style>
  <w:style w:type="character" w:styleId="712" w:customStyle="1">
    <w:name w:val="Заголовок Знак"/>
    <w:basedOn w:val="680"/>
    <w:link w:val="711"/>
    <w:uiPriority w:val="10"/>
    <w:rPr>
      <w:sz w:val="48"/>
      <w:szCs w:val="48"/>
    </w:rPr>
  </w:style>
  <w:style w:type="paragraph" w:styleId="713">
    <w:name w:val="Subtitle"/>
    <w:basedOn w:val="670"/>
    <w:next w:val="670"/>
    <w:link w:val="714"/>
    <w:uiPriority w:val="11"/>
    <w:qFormat/>
    <w:pPr>
      <w:spacing w:before="200"/>
    </w:pPr>
    <w:rPr>
      <w:sz w:val="24"/>
      <w:szCs w:val="24"/>
    </w:rPr>
  </w:style>
  <w:style w:type="character" w:styleId="714" w:customStyle="1">
    <w:name w:val="Подзаголовок Знак"/>
    <w:basedOn w:val="680"/>
    <w:link w:val="713"/>
    <w:uiPriority w:val="11"/>
    <w:rPr>
      <w:sz w:val="24"/>
      <w:szCs w:val="24"/>
    </w:rPr>
  </w:style>
  <w:style w:type="paragraph" w:styleId="715">
    <w:name w:val="Quote"/>
    <w:basedOn w:val="670"/>
    <w:next w:val="670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70"/>
    <w:next w:val="670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70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80"/>
    <w:link w:val="719"/>
    <w:uiPriority w:val="99"/>
  </w:style>
  <w:style w:type="paragraph" w:styleId="721">
    <w:name w:val="Footer"/>
    <w:basedOn w:val="670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Нижний колонтитул Знак"/>
    <w:basedOn w:val="680"/>
    <w:link w:val="721"/>
    <w:uiPriority w:val="99"/>
  </w:style>
  <w:style w:type="paragraph" w:styleId="723">
    <w:name w:val="Caption"/>
    <w:basedOn w:val="670"/>
    <w:next w:val="670"/>
    <w:link w:val="72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4" w:customStyle="1">
    <w:name w:val="Название объекта Знак"/>
    <w:basedOn w:val="680"/>
    <w:link w:val="723"/>
    <w:uiPriority w:val="35"/>
    <w:rPr>
      <w:b/>
      <w:bCs/>
      <w:color w:val="4f81bd" w:themeColor="accent1"/>
      <w:sz w:val="18"/>
      <w:szCs w:val="18"/>
    </w:rPr>
  </w:style>
  <w:style w:type="table" w:styleId="725" w:customStyle="1">
    <w:name w:val="Table Grid Light"/>
    <w:basedOn w:val="6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6">
    <w:name w:val="Plain Table 1"/>
    <w:basedOn w:val="6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7">
    <w:name w:val="Plain Table 2"/>
    <w:basedOn w:val="68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8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6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5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ned - Accent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670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basedOn w:val="680"/>
    <w:uiPriority w:val="99"/>
    <w:unhideWhenUsed/>
    <w:rPr>
      <w:vertAlign w:val="superscript"/>
    </w:rPr>
  </w:style>
  <w:style w:type="paragraph" w:styleId="854">
    <w:name w:val="endnote text"/>
    <w:basedOn w:val="670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basedOn w:val="680"/>
    <w:uiPriority w:val="99"/>
    <w:semiHidden/>
    <w:unhideWhenUsed/>
    <w:rPr>
      <w:vertAlign w:val="superscript"/>
    </w:rPr>
  </w:style>
  <w:style w:type="paragraph" w:styleId="857">
    <w:name w:val="toc 1"/>
    <w:basedOn w:val="670"/>
    <w:next w:val="670"/>
    <w:uiPriority w:val="39"/>
    <w:unhideWhenUsed/>
    <w:pPr>
      <w:spacing w:after="57"/>
    </w:pPr>
  </w:style>
  <w:style w:type="paragraph" w:styleId="858">
    <w:name w:val="toc 2"/>
    <w:basedOn w:val="670"/>
    <w:next w:val="670"/>
    <w:uiPriority w:val="39"/>
    <w:unhideWhenUsed/>
    <w:pPr>
      <w:ind w:left="283"/>
      <w:spacing w:after="57"/>
    </w:pPr>
  </w:style>
  <w:style w:type="paragraph" w:styleId="859">
    <w:name w:val="toc 3"/>
    <w:basedOn w:val="670"/>
    <w:next w:val="670"/>
    <w:uiPriority w:val="39"/>
    <w:unhideWhenUsed/>
    <w:pPr>
      <w:ind w:left="567"/>
      <w:spacing w:after="57"/>
    </w:pPr>
  </w:style>
  <w:style w:type="paragraph" w:styleId="860">
    <w:name w:val="toc 4"/>
    <w:basedOn w:val="670"/>
    <w:next w:val="670"/>
    <w:uiPriority w:val="39"/>
    <w:unhideWhenUsed/>
    <w:pPr>
      <w:ind w:left="850"/>
      <w:spacing w:after="57"/>
    </w:pPr>
  </w:style>
  <w:style w:type="paragraph" w:styleId="861">
    <w:name w:val="toc 5"/>
    <w:basedOn w:val="670"/>
    <w:next w:val="670"/>
    <w:uiPriority w:val="39"/>
    <w:unhideWhenUsed/>
    <w:pPr>
      <w:ind w:left="1134"/>
      <w:spacing w:after="57"/>
    </w:pPr>
  </w:style>
  <w:style w:type="paragraph" w:styleId="862">
    <w:name w:val="toc 6"/>
    <w:basedOn w:val="670"/>
    <w:next w:val="670"/>
    <w:uiPriority w:val="39"/>
    <w:unhideWhenUsed/>
    <w:pPr>
      <w:ind w:left="1417"/>
      <w:spacing w:after="57"/>
    </w:pPr>
  </w:style>
  <w:style w:type="paragraph" w:styleId="863">
    <w:name w:val="toc 7"/>
    <w:basedOn w:val="670"/>
    <w:next w:val="670"/>
    <w:uiPriority w:val="39"/>
    <w:unhideWhenUsed/>
    <w:pPr>
      <w:ind w:left="1701"/>
      <w:spacing w:after="57"/>
    </w:pPr>
  </w:style>
  <w:style w:type="paragraph" w:styleId="864">
    <w:name w:val="toc 8"/>
    <w:basedOn w:val="670"/>
    <w:next w:val="670"/>
    <w:uiPriority w:val="39"/>
    <w:unhideWhenUsed/>
    <w:pPr>
      <w:ind w:left="1984"/>
      <w:spacing w:after="57"/>
    </w:pPr>
  </w:style>
  <w:style w:type="paragraph" w:styleId="865">
    <w:name w:val="toc 9"/>
    <w:basedOn w:val="670"/>
    <w:next w:val="670"/>
    <w:uiPriority w:val="39"/>
    <w:unhideWhenUsed/>
    <w:pPr>
      <w:ind w:left="2268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670"/>
    <w:next w:val="670"/>
    <w:uiPriority w:val="99"/>
    <w:unhideWhenUsed/>
    <w:pPr>
      <w:spacing w:after="0"/>
    </w:pPr>
  </w:style>
  <w:style w:type="table" w:styleId="868">
    <w:name w:val="Table Grid"/>
    <w:basedOn w:val="68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9">
    <w:name w:val="List Paragraph"/>
    <w:basedOn w:val="670"/>
    <w:uiPriority w:val="34"/>
    <w:qFormat/>
    <w:pPr>
      <w:contextualSpacing/>
      <w:ind w:left="720"/>
    </w:pPr>
  </w:style>
  <w:style w:type="character" w:styleId="870">
    <w:name w:val="annotation reference"/>
    <w:basedOn w:val="680"/>
    <w:uiPriority w:val="99"/>
    <w:semiHidden/>
    <w:unhideWhenUsed/>
    <w:rPr>
      <w:sz w:val="16"/>
      <w:szCs w:val="16"/>
    </w:rPr>
  </w:style>
  <w:style w:type="paragraph" w:styleId="871">
    <w:name w:val="annotation text"/>
    <w:basedOn w:val="670"/>
    <w:link w:val="87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2" w:customStyle="1">
    <w:name w:val="Текст примечания Знак"/>
    <w:basedOn w:val="680"/>
    <w:link w:val="871"/>
    <w:uiPriority w:val="99"/>
    <w:semiHidden/>
    <w:rPr>
      <w:sz w:val="20"/>
      <w:szCs w:val="20"/>
    </w:rPr>
  </w:style>
  <w:style w:type="paragraph" w:styleId="873">
    <w:name w:val="annotation subject"/>
    <w:basedOn w:val="871"/>
    <w:next w:val="871"/>
    <w:link w:val="874"/>
    <w:uiPriority w:val="99"/>
    <w:semiHidden/>
    <w:unhideWhenUsed/>
    <w:rPr>
      <w:b/>
      <w:bCs/>
    </w:rPr>
  </w:style>
  <w:style w:type="character" w:styleId="874" w:customStyle="1">
    <w:name w:val="Тема примечания Знак"/>
    <w:basedOn w:val="872"/>
    <w:link w:val="87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PIVOVAROVA</cp:lastModifiedBy>
  <cp:revision>32</cp:revision>
  <dcterms:created xsi:type="dcterms:W3CDTF">2026-10-15T09:45:00Z</dcterms:created>
  <dcterms:modified xsi:type="dcterms:W3CDTF">2026-10-21T11:42:53Z</dcterms:modified>
</cp:coreProperties>
</file>