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4"/>
        <w:ind w:right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1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ПОСТАВКИ №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753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753"/>
        <w:rPr>
          <w:szCs w:val="24"/>
        </w:rPr>
      </w:pPr>
      <w:r>
        <w:rPr>
          <w:szCs w:val="24"/>
        </w:rPr>
        <w:t xml:space="preserve">г. </w:t>
      </w:r>
      <w:r>
        <w:rPr>
          <w:szCs w:val="24"/>
        </w:rPr>
        <w:t xml:space="preserve">Салехард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 xml:space="preserve">«</w:t>
      </w:r>
      <w:r>
        <w:rPr>
          <w:szCs w:val="24"/>
        </w:rPr>
        <w:t xml:space="preserve">_</w:t>
      </w:r>
      <w:r>
        <w:rPr>
          <w:szCs w:val="24"/>
        </w:rPr>
        <w:t xml:space="preserve">__</w:t>
      </w:r>
      <w:r>
        <w:rPr>
          <w:szCs w:val="24"/>
        </w:rPr>
        <w:t xml:space="preserve">» </w:t>
      </w:r>
      <w:r>
        <w:rPr>
          <w:szCs w:val="24"/>
        </w:rPr>
        <w:t xml:space="preserve">_____</w:t>
      </w:r>
      <w:r>
        <w:rPr>
          <w:szCs w:val="24"/>
        </w:rPr>
        <w:t xml:space="preserve">_____</w:t>
      </w:r>
      <w:r>
        <w:rPr>
          <w:szCs w:val="24"/>
        </w:rPr>
        <w:t xml:space="preserve"> </w:t>
      </w:r>
      <w:r>
        <w:rPr>
          <w:szCs w:val="24"/>
        </w:rPr>
        <w:t xml:space="preserve">2026 г.</w:t>
      </w:r>
      <w:r>
        <w:rPr>
          <w:szCs w:val="24"/>
        </w:rPr>
      </w:r>
    </w:p>
    <w:p>
      <w:pPr>
        <w:jc w:val="both"/>
      </w:pPr>
      <w:r/>
      <w:r/>
    </w:p>
    <w:p>
      <w:pPr>
        <w:pStyle w:val="744"/>
        <w:ind w:firstLine="425"/>
        <w:jc w:val="both"/>
        <w:rPr>
          <w:sz w:val="24"/>
        </w:rPr>
      </w:pPr>
      <w:r>
        <w:rPr>
          <w:b/>
          <w:bCs/>
          <w:sz w:val="24"/>
        </w:rPr>
        <w:t xml:space="preserve">____________________________</w:t>
      </w:r>
      <w:r>
        <w:rPr>
          <w:sz w:val="24"/>
        </w:rPr>
        <w:t xml:space="preserve">, именуемое в дальнейшем «Поставщик», в лице </w:t>
      </w:r>
      <w:r>
        <w:rPr>
          <w:sz w:val="24"/>
        </w:rPr>
        <w:t xml:space="preserve">____________________</w:t>
      </w:r>
      <w:r>
        <w:rPr>
          <w:sz w:val="24"/>
        </w:rPr>
        <w:t xml:space="preserve">, действующего на основании </w:t>
      </w:r>
      <w:r>
        <w:rPr>
          <w:sz w:val="24"/>
        </w:rPr>
        <w:t xml:space="preserve">____________</w:t>
      </w:r>
      <w:r>
        <w:rPr>
          <w:sz w:val="24"/>
        </w:rPr>
        <w:t xml:space="preserve">, с одной стороны, и </w:t>
      </w:r>
      <w:r>
        <w:rPr>
          <w:sz w:val="24"/>
        </w:rPr>
      </w:r>
    </w:p>
    <w:p>
      <w:pPr>
        <w:pStyle w:val="744"/>
        <w:ind w:firstLine="425"/>
        <w:jc w:val="both"/>
        <w:rPr>
          <w:b/>
          <w:sz w:val="24"/>
        </w:rPr>
      </w:pPr>
      <w:r>
        <w:rPr>
          <w:b/>
          <w:bCs/>
          <w:sz w:val="24"/>
        </w:rPr>
        <w:t xml:space="preserve">____________________________</w:t>
      </w:r>
      <w:r>
        <w:rPr>
          <w:b/>
          <w:bCs/>
          <w:sz w:val="24"/>
        </w:rPr>
        <w:t xml:space="preserve">,</w:t>
      </w:r>
      <w:r>
        <w:rPr>
          <w:sz w:val="24"/>
        </w:rPr>
        <w:t xml:space="preserve"> </w:t>
      </w:r>
      <w:r>
        <w:rPr>
          <w:sz w:val="24"/>
        </w:rPr>
        <w:t xml:space="preserve">именуемая в дальнейшем «Покупатель», </w:t>
      </w:r>
      <w:r>
        <w:rPr>
          <w:sz w:val="24"/>
        </w:rPr>
        <w:t xml:space="preserve">в лице </w:t>
      </w:r>
      <w:r>
        <w:rPr>
          <w:sz w:val="24"/>
        </w:rPr>
        <w:t xml:space="preserve">______________________</w:t>
      </w:r>
      <w:r>
        <w:rPr>
          <w:sz w:val="24"/>
        </w:rPr>
        <w:t xml:space="preserve">, действующего на основании </w:t>
      </w:r>
      <w:r>
        <w:rPr>
          <w:sz w:val="24"/>
        </w:rPr>
        <w:t xml:space="preserve">____________</w:t>
      </w:r>
      <w:r>
        <w:rPr>
          <w:sz w:val="24"/>
        </w:rPr>
        <w:t xml:space="preserve">, с другой стороны, вместе именуемые «Стороны»,</w:t>
      </w:r>
      <w:r>
        <w:rPr>
          <w:sz w:val="24"/>
        </w:rPr>
        <w:t xml:space="preserve"> на основании результатов процедуры закупки</w:t>
      </w:r>
      <w:r>
        <w:rPr>
          <w:sz w:val="24"/>
        </w:rPr>
        <w:t xml:space="preserve"> (Протокол № </w:t>
      </w:r>
      <w:r>
        <w:rPr>
          <w:sz w:val="24"/>
        </w:rPr>
        <w:t xml:space="preserve">_____</w:t>
      </w:r>
      <w:r>
        <w:rPr>
          <w:sz w:val="24"/>
        </w:rPr>
        <w:t xml:space="preserve"> от </w:t>
      </w:r>
      <w:r>
        <w:rPr>
          <w:sz w:val="24"/>
        </w:rPr>
        <w:t xml:space="preserve">______</w:t>
      </w:r>
      <w:r>
        <w:rPr>
          <w:sz w:val="24"/>
        </w:rPr>
        <w:t xml:space="preserve">) в соответствии с Положением </w:t>
      </w:r>
      <w:r>
        <w:rPr>
          <w:rFonts w:eastAsia="Liberation Sans"/>
          <w:sz w:val="24"/>
        </w:rPr>
        <w:t xml:space="preserve">о закупках товаров, работ, услуг Ассоциации «Некоммерческое партнерство Российский Центр освоения Арктики», утвержденным решением Общего собрания членов НП «Центр освоения Арктики» (протокол № 5 от 27.07.2026г.)</w:t>
      </w:r>
      <w:r>
        <w:rPr>
          <w:sz w:val="24"/>
        </w:rPr>
        <w:t xml:space="preserve"> заключили настоящий договор (далее – договор) о нижеследующем</w:t>
      </w:r>
      <w:r>
        <w:rPr>
          <w:sz w:val="24"/>
        </w:rPr>
        <w:t xml:space="preserve">:</w:t>
      </w:r>
      <w:r>
        <w:rPr>
          <w:b/>
          <w:sz w:val="24"/>
        </w:rPr>
      </w:r>
    </w:p>
    <w:p>
      <w:pPr>
        <w:pStyle w:val="7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Предмет договора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</w:pPr>
      <w:r>
        <w:t xml:space="preserve">1.1. </w:t>
      </w:r>
      <w:r>
        <w:t xml:space="preserve">В рамках реализации Покупателем мероприятий по обу</w:t>
      </w:r>
      <w:r>
        <w:t xml:space="preserve">стройству и содержанию инфраструктуры полигона водородной энергетики в Нефритовой долине Ямало-Ненецкого автономного округа в рамках создания международной арктической станции «Снежинка» (далее – «Полигон»), в соответствии с условиями настоящего Договора, </w:t>
      </w:r>
      <w:r>
        <w:t xml:space="preserve">П</w:t>
      </w:r>
      <w:r>
        <w:t xml:space="preserve">оставщик</w:t>
      </w:r>
      <w:r>
        <w:t xml:space="preserve"> обязуется</w:t>
      </w:r>
      <w:r>
        <w:t xml:space="preserve"> </w:t>
      </w:r>
      <w:r>
        <w:t xml:space="preserve">передавать (</w:t>
      </w:r>
      <w:r>
        <w:t xml:space="preserve">постав</w:t>
      </w:r>
      <w:r>
        <w:t xml:space="preserve">лять) </w:t>
      </w:r>
      <w:r>
        <w:t xml:space="preserve">в собственность П</w:t>
      </w:r>
      <w:r>
        <w:t xml:space="preserve">окупателя </w:t>
      </w:r>
      <w:r>
        <w:t xml:space="preserve">горюче-смазочные материалы</w:t>
      </w:r>
      <w:r>
        <w:t xml:space="preserve"> - Арктическое дизельное топливо (</w:t>
      </w:r>
      <w:r>
        <w:t xml:space="preserve">марки ДТ-А)</w:t>
      </w:r>
      <w:r>
        <w:t xml:space="preserve"> (далее – Т</w:t>
      </w:r>
      <w:r>
        <w:t xml:space="preserve">овар</w:t>
      </w:r>
      <w:r>
        <w:t xml:space="preserve">)</w:t>
      </w:r>
      <w:r>
        <w:t xml:space="preserve">, </w:t>
      </w:r>
      <w:r>
        <w:t xml:space="preserve">а </w:t>
      </w:r>
      <w:bookmarkStart w:id="0" w:name="_Hlk89266461"/>
      <w:r>
        <w:t xml:space="preserve">П</w:t>
      </w:r>
      <w:bookmarkEnd w:id="0"/>
      <w:r>
        <w:t xml:space="preserve">окупатель</w:t>
      </w:r>
      <w:r>
        <w:t xml:space="preserve"> прин</w:t>
      </w:r>
      <w:r>
        <w:t xml:space="preserve">имать</w:t>
      </w:r>
      <w:r>
        <w:t xml:space="preserve"> и опла</w:t>
      </w:r>
      <w:r>
        <w:t xml:space="preserve">чивать</w:t>
      </w:r>
      <w:r>
        <w:t xml:space="preserve"> товар в количестве и по цен</w:t>
      </w:r>
      <w:r>
        <w:t xml:space="preserve">е</w:t>
      </w:r>
      <w:r>
        <w:t xml:space="preserve">, согласно условиям настоящего договора</w:t>
      </w:r>
      <w:r>
        <w:t xml:space="preserve">.</w:t>
      </w:r>
      <w:r/>
    </w:p>
    <w:p>
      <w:pPr>
        <w:jc w:val="both"/>
      </w:pPr>
      <w:r>
        <w:t xml:space="preserve">1.2. Общий объем поставляемого Товара –</w:t>
      </w:r>
      <w:r>
        <w:t xml:space="preserve"> </w:t>
      </w:r>
      <w:r>
        <w:t xml:space="preserve">41,40 т. </w:t>
      </w:r>
      <w:r>
        <w:t xml:space="preserve">( ≈</w:t>
      </w:r>
      <w:r>
        <w:t xml:space="preserve"> 50м</w:t>
      </w:r>
      <w:r>
        <w:rPr>
          <w:vertAlign w:val="superscript"/>
        </w:rPr>
        <w:t xml:space="preserve">3  </w:t>
      </w:r>
      <w:r>
        <w:t xml:space="preserve">)</w:t>
      </w:r>
      <w:r>
        <w:t xml:space="preserve">.</w:t>
      </w:r>
      <w:r/>
    </w:p>
    <w:p>
      <w:pPr>
        <w:jc w:val="both"/>
        <w:shd w:val="clear" w:color="auto" w:fill="fcfcfc"/>
      </w:pPr>
      <w:r>
        <w:t xml:space="preserve">1.3. Срок поставки Товара с </w:t>
      </w:r>
      <w:r>
        <w:rPr>
          <w:spacing w:val="4"/>
          <w:sz w:val="22"/>
          <w:szCs w:val="22"/>
        </w:rPr>
        <w:t xml:space="preserve">момента заключения Договора</w:t>
      </w:r>
      <w:r>
        <w:t xml:space="preserve"> по 15.11.2027.</w:t>
      </w:r>
      <w:r/>
    </w:p>
    <w:p>
      <w:pPr>
        <w:jc w:val="both"/>
      </w:pPr>
      <w:r>
        <w:t xml:space="preserve">1.4</w:t>
      </w:r>
      <w:r>
        <w:t xml:space="preserve">. Место поставки Товара: ЯНАО, Приуральский район, земельный участок с кадастровым номером 89:02:011203:177.</w:t>
      </w:r>
      <w:r/>
    </w:p>
    <w:p>
      <w:pPr>
        <w:jc w:val="both"/>
      </w:pPr>
      <w:r>
        <w:t xml:space="preserve">1.</w:t>
      </w:r>
      <w:r>
        <w:t xml:space="preserve">5</w:t>
      </w:r>
      <w:r>
        <w:t xml:space="preserve">.</w:t>
      </w:r>
      <w:r>
        <w:t xml:space="preserve"> </w:t>
      </w:r>
      <w:r>
        <w:t xml:space="preserve">Поставка Товара осуществляется партиями. </w:t>
      </w:r>
      <w:r>
        <w:t xml:space="preserve">Наименование, марка, количество, срок, условия поставки, цена Товара, подлежащего поставке, </w:t>
      </w:r>
      <w:r>
        <w:t xml:space="preserve">определяется</w:t>
      </w:r>
      <w:r>
        <w:t xml:space="preserve"> Сторонами в Спецификациях, </w:t>
      </w:r>
      <w:r>
        <w:t xml:space="preserve">на каждую отдельную </w:t>
      </w:r>
      <w:r>
        <w:t xml:space="preserve">партию </w:t>
      </w:r>
      <w:r>
        <w:t xml:space="preserve">поставк</w:t>
      </w:r>
      <w:r>
        <w:t xml:space="preserve">и. </w:t>
      </w:r>
      <w:r>
        <w:t xml:space="preserve">Спецификации оформляются в соответствии с формой, приведенной в Приложении № 1 настоящему Договору</w:t>
      </w:r>
      <w:r>
        <w:t xml:space="preserve">.</w:t>
      </w:r>
      <w:r/>
    </w:p>
    <w:p>
      <w:pPr>
        <w:pStyle w:val="756"/>
        <w:ind w:left="0"/>
        <w:jc w:val="both"/>
        <w:spacing w:after="0"/>
        <w:shd w:val="clear" w:color="auto" w:fill="ffffff"/>
      </w:pPr>
      <w:r>
        <w:t xml:space="preserve">1.</w:t>
      </w:r>
      <w:r>
        <w:t xml:space="preserve">6</w:t>
      </w:r>
      <w:r>
        <w:t xml:space="preserve">. Поставщик гарантирует, что поставляемый Товар не является предметом поставки и иных обязательств по другим соглашениям, свободен от прав и притязаний третьих лиц, не находится под запретом (арестом), в залоге. Товар должен быть передан </w:t>
      </w:r>
      <w:r>
        <w:t xml:space="preserve">Покупателю</w:t>
      </w:r>
      <w:r>
        <w:t xml:space="preserve"> в полном соответствии со Спецификацией.</w:t>
      </w:r>
      <w:r/>
    </w:p>
    <w:p>
      <w:pPr>
        <w:pStyle w:val="756"/>
        <w:ind w:left="0"/>
        <w:jc w:val="both"/>
        <w:spacing w:after="0"/>
        <w:shd w:val="clear" w:color="auto" w:fill="ffffff"/>
      </w:pPr>
      <w:r>
        <w:t xml:space="preserve">1.</w:t>
      </w:r>
      <w:r>
        <w:t xml:space="preserve">7</w:t>
      </w:r>
      <w:r>
        <w:t xml:space="preserve">. Поставляемый Товар приобретается Покупателем исключительно в целях осуществления своей уставной деятельности без целей перепродажи Товара.</w:t>
      </w:r>
      <w:r/>
    </w:p>
    <w:p>
      <w:pPr>
        <w:pStyle w:val="756"/>
        <w:ind w:left="0"/>
        <w:jc w:val="both"/>
        <w:spacing w:after="0"/>
        <w:shd w:val="clear" w:color="auto" w:fill="ffffff"/>
      </w:pPr>
      <w:r/>
      <w:r/>
    </w:p>
    <w:p>
      <w:pPr>
        <w:pStyle w:val="756"/>
        <w:ind w:left="0"/>
        <w:jc w:val="center"/>
        <w:spacing w:after="0"/>
        <w:shd w:val="clear" w:color="auto" w:fill="ffffff"/>
        <w:rPr>
          <w:b/>
          <w:bCs/>
        </w:rPr>
      </w:pPr>
      <w:r>
        <w:rPr>
          <w:b/>
          <w:bCs/>
        </w:rPr>
        <w:t xml:space="preserve">2. Качество товара</w:t>
      </w:r>
      <w:r>
        <w:rPr>
          <w:b/>
          <w:bCs/>
        </w:rPr>
        <w:t xml:space="preserve">, условия поставки </w:t>
      </w:r>
      <w:r>
        <w:rPr>
          <w:b/>
          <w:bCs/>
        </w:rPr>
      </w:r>
    </w:p>
    <w:p>
      <w:pPr>
        <w:jc w:val="both"/>
        <w:shd w:val="clear" w:color="auto" w:fill="fcfcfc"/>
      </w:pPr>
      <w:r>
        <w:t xml:space="preserve">2.</w:t>
      </w:r>
      <w:r>
        <w:t xml:space="preserve">1. </w:t>
      </w:r>
      <w:r>
        <w:t xml:space="preserve">Товар по настоящему Договору поставляется партиями в пределах количества и срока/периода поставки, </w:t>
      </w:r>
      <w:r>
        <w:t xml:space="preserve">определенных Сторонами </w:t>
      </w:r>
      <w:r>
        <w:t xml:space="preserve">в </w:t>
      </w:r>
      <w:hyperlink r:id="rId12" w:tooltip="consultantplus://offline/ref=C9B6FB911E507E7DCC3E8A23CCDB0A3716ACE8046A86ABAB147F22F1A344F057FE10E9FF46940FB428F938D3D9BC690F1D3F8427C7F519l3oDK" w:history="1">
        <w:r>
          <w:t xml:space="preserve">Спецификаци</w:t>
        </w:r>
        <w:r>
          <w:t xml:space="preserve">ях</w:t>
        </w:r>
      </w:hyperlink>
      <w:r>
        <w:t xml:space="preserve">. Каждая отдельная согласованная Спецификация является приложением к договору</w:t>
      </w:r>
      <w:r>
        <w:t xml:space="preserve">.</w:t>
      </w:r>
      <w:r/>
    </w:p>
    <w:p>
      <w:pPr>
        <w:jc w:val="both"/>
        <w:shd w:val="clear" w:color="auto" w:fill="fcfcfc"/>
      </w:pPr>
      <w:r>
        <w:t xml:space="preserve">2.</w:t>
      </w:r>
      <w:r>
        <w:t xml:space="preserve">2. </w:t>
      </w:r>
      <w:r>
        <w:t xml:space="preserve">Качество поставляемого Товара должно соответствовать требованиям, действующим на территории Российской Федерации техническим регламентам (ТР ТС 013/2011.</w:t>
      </w:r>
      <w:r>
        <w:t xml:space="preserve"> О требованиях к автомобильному и авиационному бензину, дизельному и судовому топливу, топливу для реактивных двигателей и мазуту), национальным (межгосударственным) стандартам (ГОСТ Р 52368-2005 (ЕН 590:2004). Топливо дизельное ЕВРО. Технические условия, </w:t>
      </w:r>
      <w:hyperlink r:id="rId13" w:tooltip="спецификация Евросоюза EN 590" w:history="1">
        <w:r>
          <w:t xml:space="preserve">Спецификации Евросоюза EN 590</w:t>
        </w:r>
      </w:hyperlink>
      <w:r>
        <w:t xml:space="preserve">, </w:t>
      </w:r>
      <w:hyperlink r:id="rId14" w:tooltip="ГОСТ 1510-84. Нефть и нефтепродукты. Маркировка, упаковка, транспортирование и хранение&#10;" w:history="1">
        <w:r>
          <w:t xml:space="preserve">ГОСТ 1510-84. Нефть и нефтепродукты. Маркировка, упаковка, транспортирование и хранение, </w:t>
        </w:r>
      </w:hyperlink>
      <w:r/>
      <w:hyperlink r:id="rId15" w:tooltip="ГОСТ Р 55475-2013. Топливо дизельное зимнее и арктическое депарафинированное. Технические условия&#10;" w:history="1">
        <w:r>
          <w:t xml:space="preserve">ГОСТ Р 55475-2013. Топливо дизельное зимнее и арктическое </w:t>
        </w:r>
        <w:r>
          <w:t xml:space="preserve">депарафинированное</w:t>
        </w:r>
        <w:r>
          <w:t xml:space="preserve">. Технические условия, </w:t>
        </w:r>
        <w:r>
          <w:t xml:space="preserve">ГОСТ 305-2013. Топливо дизельное</w:t>
        </w:r>
        <w:r>
          <w:t xml:space="preserve">. Технические </w:t>
        </w:r>
        <w:r>
          <w:t xml:space="preserve">условия</w:t>
        </w:r>
      </w:hyperlink>
      <w:r>
        <w:t xml:space="preserve">, стандартам организации (СТО), техническим условиям (ТУ) и удостоверяться/подтверждаться соответствующими документами (паспортом качества, сертификатом соответствия).</w:t>
      </w:r>
      <w:r/>
    </w:p>
    <w:p>
      <w:pPr>
        <w:pStyle w:val="785"/>
        <w:ind w:right="0" w:firstLine="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Отгрузку Товара (нали</w:t>
      </w:r>
      <w:r>
        <w:rPr>
          <w:rFonts w:ascii="Times New Roman" w:hAnsi="Times New Roman" w:cs="Times New Roman"/>
          <w:sz w:val="24"/>
          <w:szCs w:val="24"/>
        </w:rPr>
        <w:t xml:space="preserve">в в автоцистерну и оформление товарно-сопроводительных документов) обеспечивает Поставщик. Поставщик обязан обеспечить отгрузку Товара не допуская превышение допустимой массы транспортного средства и (или) допустимой нагрузки на ось транспортного средства.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85"/>
        <w:ind w:right="0" w:firstLine="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cs="Times New Roman"/>
          <w:sz w:val="24"/>
          <w:szCs w:val="24"/>
        </w:rPr>
        <w:t xml:space="preserve">Поставка Товара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специализированным</w:t>
      </w:r>
      <w:r>
        <w:rPr>
          <w:rFonts w:ascii="Times New Roman" w:hAnsi="Times New Roman" w:cs="Times New Roman"/>
          <w:sz w:val="24"/>
          <w:szCs w:val="24"/>
        </w:rPr>
        <w:t xml:space="preserve"> автомобильным транспортом в автоцистернах, оборудованном в соответствии с действующими нормативно правовыми актами и нормативно-техническим документами</w:t>
      </w:r>
      <w:r>
        <w:rPr>
          <w:rFonts w:ascii="Times New Roman" w:hAnsi="Times New Roman" w:cs="Times New Roman"/>
          <w:sz w:val="24"/>
          <w:szCs w:val="24"/>
        </w:rPr>
        <w:t xml:space="preserve"> для данного вида тран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порта</w:t>
      </w:r>
      <w:r>
        <w:rPr>
          <w:rFonts w:ascii="Times New Roman" w:hAnsi="Times New Roman" w:cs="Times New Roman"/>
          <w:sz w:val="24"/>
          <w:szCs w:val="24"/>
        </w:rPr>
        <w:t xml:space="preserve">, а также на транспортные средства должны быть оборудованы рабочими датчиками</w:t>
      </w: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white"/>
        </w:rPr>
        <w:t xml:space="preserve"> GPS/ГЛОНАСС с передачей данных о перемещении Покупателю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85"/>
        <w:ind w:right="0" w:firstLine="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Все риски случайной гибели, случайного повреждения или ухудшения качества Товара, переходят от Поставщика к Покупателю с момента исполнения обязанности Поставщика по передаче Товара Покупателю.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85"/>
        <w:ind w:right="0" w:firstLine="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Право собственности на Товар переходит к Покупателю с момента подписания Покупателем </w:t>
      </w:r>
      <w:r>
        <w:rPr>
          <w:rFonts w:ascii="Times New Roman" w:hAnsi="Times New Roman" w:cs="Times New Roman"/>
          <w:sz w:val="24"/>
          <w:szCs w:val="24"/>
        </w:rPr>
        <w:t xml:space="preserve">универсального передаточного документа (УПД)</w:t>
      </w:r>
      <w:r>
        <w:rPr>
          <w:rFonts w:ascii="Times New Roman" w:hAnsi="Times New Roman" w:cs="Times New Roman"/>
          <w:sz w:val="24"/>
          <w:szCs w:val="24"/>
        </w:rPr>
        <w:t xml:space="preserve"> и предоставления Поставщиком Покупателю паспорта качества или сертификата соответствия на Товар.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85"/>
        <w:ind w:right="0" w:firstLine="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</w:t>
      </w:r>
      <w:r>
        <w:rPr>
          <w:rFonts w:ascii="Times New Roman" w:hAnsi="Times New Roman" w:cs="Times New Roman"/>
          <w:sz w:val="24"/>
          <w:szCs w:val="24"/>
        </w:rPr>
        <w:t xml:space="preserve"> В товарно-транспортной/транспортной накладной, товарной накладной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(ТОРГ-12)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УПД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Товар Поставщиком должны быть указаны следующие данные: масса, вид, объем, плотность и температура отгруженного Товара.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</w:pPr>
      <w:r>
        <w:t xml:space="preserve">2.8</w:t>
      </w:r>
      <w:r>
        <w:t xml:space="preserve">. На поставляемый Товар Поставщик обязан передать Покупателю всю товарно-сопроводительную документацию (универсальный передаточный документ (</w:t>
      </w:r>
      <w:r>
        <w:t xml:space="preserve">УПД)  или</w:t>
      </w:r>
      <w:r>
        <w:t xml:space="preserve"> товарную накладную (ТОРГ-12) и счет-фактуру, товарно-транспортную накладную (1-Т) и/или транспортную накладную), а также документы</w:t>
      </w:r>
      <w:r>
        <w:t xml:space="preserve">,</w:t>
      </w:r>
      <w:r>
        <w:t xml:space="preserve"> подтверждающие качество Товара (паспорт качества, или сертификат соответствия)</w:t>
      </w:r>
      <w:r>
        <w:t xml:space="preserve">.</w:t>
      </w:r>
      <w:r/>
    </w:p>
    <w:p>
      <w:pPr>
        <w:jc w:val="both"/>
      </w:pPr>
      <w:r>
        <w:t xml:space="preserve">2.9</w:t>
      </w:r>
      <w:r>
        <w:t xml:space="preserve">. В случае несоответствия указанных в документах на Товар (перечень, установленный в п.</w:t>
      </w:r>
      <w:r>
        <w:t xml:space="preserve">2.8</w:t>
      </w:r>
      <w:r>
        <w:t xml:space="preserve">) данных о поставляемом Това</w:t>
      </w:r>
      <w:r>
        <w:t xml:space="preserve">ре по наименованию, ассортименту, количеству, качеству и цене Товара, согласованных сторонами в Спецификациях, Покупатель вправе Товар не принимать. В этом случае все риски, связанные с нарушением сроков поставки Товара, простоя транспорта несет Поставщик.</w:t>
      </w:r>
      <w:r/>
    </w:p>
    <w:p>
      <w:pPr>
        <w:jc w:val="both"/>
      </w:pPr>
      <w:r>
        <w:t xml:space="preserve">2.10</w:t>
      </w:r>
      <w:r>
        <w:t xml:space="preserve">. Обязательства Поставщика по поставке Товара считаются исполненными надлежащим образом, если при приемке Товара не будет обнаружено расхождение между количеством/качеством Товара, указанным в товарно-сопроводительных документах, </w:t>
      </w:r>
      <w:r>
        <w:t xml:space="preserve">документах</w:t>
      </w:r>
      <w:r>
        <w:t xml:space="preserve"> подтверждающих качество Товара и количеством/качеством, определенным Покупателем с учетом и в пределах норм пог</w:t>
      </w:r>
      <w:r>
        <w:t xml:space="preserve">решности измерений, установленных действующими на дату проведения приемки нормативно-правовыми и нормативно-техническими актами. В этом случае за фактически поставленное количество Товара принимаются данные, указанные в товарно-сопроводительных документах.</w:t>
      </w:r>
      <w:r/>
    </w:p>
    <w:p>
      <w:pPr>
        <w:jc w:val="both"/>
      </w:pPr>
      <w:r>
        <w:t xml:space="preserve">2.11. </w:t>
      </w:r>
      <w:r>
        <w:t xml:space="preserve">При поставке Товара в автоцистернах на условиях доставки до Покупателя, по прибытии транспортного средства </w:t>
      </w:r>
      <w:r>
        <w:t xml:space="preserve">к месту поставки</w:t>
      </w:r>
      <w:r>
        <w:t xml:space="preserve"> проверяется наличие и целостность пломб, техническое состояние автоцистерны, определяется полнота заполнения цистерны и соответствие нефтепродукта, указанному в товарно-сопроводительных документах, предъявленных водителем.</w:t>
      </w:r>
      <w:r/>
    </w:p>
    <w:p>
      <w:pPr>
        <w:jc w:val="both"/>
      </w:pPr>
      <w:r>
        <w:t xml:space="preserve">2.12</w:t>
      </w:r>
      <w:r>
        <w:t xml:space="preserve">. В случае поставки Товара Поставщиком с товарно-сопроводительными документами, в которых цены на Товар отличаются от цен, указанных в Спецификации, приемка Товара Покупателем осуществляется только в от</w:t>
      </w:r>
      <w:r>
        <w:t xml:space="preserve">ношении указанного в них наименования, ассортимента и количества Товара. При этом цена и общая стоимость переданного таким образом Товара определяется по ценам, указанным в Спецификации, о чем составляется Акт о расхождениях. Поставщик обязан в течение 3 (</w:t>
      </w:r>
      <w:r>
        <w:t xml:space="preserve">т</w:t>
      </w:r>
      <w:r>
        <w:t xml:space="preserve">рех) </w:t>
      </w:r>
      <w:r>
        <w:t xml:space="preserve">рабочих</w:t>
      </w:r>
      <w:r>
        <w:t xml:space="preserve"> дней с даты поставки Товара предоставить Покупателю надлежаще оформленные товарно-сопроводительные документы, соответствующие Спецификации.</w:t>
      </w:r>
      <w:r/>
    </w:p>
    <w:p>
      <w:pPr>
        <w:contextualSpacing/>
        <w:jc w:val="both"/>
        <w:tabs>
          <w:tab w:val="left" w:pos="1560" w:leader="none"/>
        </w:tabs>
        <w:rPr>
          <w:rFonts w:eastAsia="Calibri"/>
        </w:rPr>
      </w:pPr>
      <w:r>
        <w:t xml:space="preserve">2.13</w:t>
      </w:r>
      <w:r>
        <w:t xml:space="preserve">. </w:t>
      </w:r>
      <w:r>
        <w:rPr>
          <w:rFonts w:eastAsia="Calibri"/>
        </w:rPr>
        <w:t xml:space="preserve">В случае обнаружения недостатков в Товаре, либо поставки Товара в неполном объёме, на месте составляется акт с указанием этих недостатков или количества недопоставленного Товара, подписываемый представителями Сторон.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2.14</w:t>
      </w:r>
      <w:r>
        <w:rPr>
          <w:rFonts w:eastAsia="Calibri"/>
        </w:rPr>
        <w:t xml:space="preserve">. Покупатель имеет право привлечь для проведения независимой экспертизы доставленного Товара на оригинальность и со</w:t>
      </w:r>
      <w:r>
        <w:rPr>
          <w:rFonts w:eastAsia="Calibri"/>
        </w:rPr>
        <w:t xml:space="preserve">ответствие требованиям Договора, экспертов. В случае проведения независимой экспертизы сроки проверки, приемки Товара, предусмотренные Договором, могут быть перенесены на более поздний срок соразмерно времени, необходимого для проведения данной экспертизы.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Расходы на экспертизу несет Поставщик,</w:t>
      </w:r>
      <w:r>
        <w:rPr>
          <w:rFonts w:eastAsia="Calibri"/>
        </w:rPr>
        <w:t xml:space="preserve"> за исключением случаев, когда экспертизой установлено отсутствие недостатков Товара или причинной связи между действиями Поставщика и обнаруженными недостатками. В указанных случаях расходы на экспертизу несет Сторона, потребовавшая назначения экспертизы.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2.15</w:t>
      </w:r>
      <w:r>
        <w:rPr>
          <w:rFonts w:eastAsia="Calibri"/>
        </w:rPr>
        <w:t xml:space="preserve">. Уполномоченные лица Покупателя действуют на основании доверенности, выданной Покупателем в соответствии с действующим законодательством или иных документов (приказа и т.д.), подтверждающих их полномочия.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2.16</w:t>
      </w:r>
      <w:r>
        <w:rPr>
          <w:rFonts w:eastAsia="Calibri"/>
        </w:rPr>
        <w:t xml:space="preserve">. Уполномоченные лица Поставщика действуют на основании доверенности или иных документов, подтверждающих их полномочия.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2.17</w:t>
      </w:r>
      <w:r>
        <w:rPr>
          <w:rFonts w:eastAsia="Calibri"/>
        </w:rPr>
        <w:t xml:space="preserve">. Право собственности на Товар прекращается у Поставщика с момента подписания Сторонами УПД.</w:t>
      </w:r>
      <w:r>
        <w:rPr>
          <w:rFonts w:eastAsia="Calibri"/>
        </w:rPr>
      </w:r>
    </w:p>
    <w:p>
      <w:pPr>
        <w:contextualSpacing/>
        <w:jc w:val="both"/>
        <w:tabs>
          <w:tab w:val="left" w:pos="1134" w:leader="none"/>
        </w:tabs>
        <w:rPr>
          <w:rFonts w:eastAsia="Calibri"/>
        </w:rPr>
      </w:pPr>
      <w:r>
        <w:rPr>
          <w:rFonts w:eastAsia="Calibri"/>
        </w:rPr>
        <w:t xml:space="preserve">2.18</w:t>
      </w:r>
      <w:r>
        <w:rPr>
          <w:rFonts w:eastAsia="Calibri"/>
        </w:rPr>
        <w:t xml:space="preserve">. Надлежащей поставкой Товара признается передача Товара в полном соответствии с условиями настоящего Договора</w:t>
      </w:r>
      <w:r>
        <w:t xml:space="preserve">.</w:t>
      </w:r>
      <w:r>
        <w:rPr>
          <w:rFonts w:eastAsia="Calibri"/>
        </w:rPr>
      </w:r>
    </w:p>
    <w:p>
      <w:pPr>
        <w:jc w:val="both"/>
        <w:shd w:val="clear" w:color="auto" w:fill="ffffff"/>
      </w:pPr>
      <w:r/>
      <w:r/>
    </w:p>
    <w:p>
      <w:pPr>
        <w:jc w:val="center"/>
        <w:rPr>
          <w:b/>
        </w:rPr>
        <w:outlineLvl w:val="0"/>
      </w:pPr>
      <w:r>
        <w:rPr>
          <w:b/>
        </w:rPr>
        <w:t xml:space="preserve">3</w:t>
      </w:r>
      <w:r>
        <w:rPr>
          <w:b/>
        </w:rPr>
        <w:t xml:space="preserve">. Цена </w:t>
      </w:r>
      <w:r>
        <w:rPr>
          <w:b/>
        </w:rPr>
        <w:t xml:space="preserve">Договора</w:t>
      </w:r>
      <w:r>
        <w:rPr>
          <w:b/>
        </w:rPr>
        <w:t xml:space="preserve"> и порядок расчета</w:t>
      </w:r>
      <w:r>
        <w:rPr>
          <w:b/>
        </w:rPr>
      </w:r>
    </w:p>
    <w:p>
      <w:pPr>
        <w:jc w:val="both"/>
      </w:pPr>
      <w:r>
        <w:t xml:space="preserve">3</w:t>
      </w:r>
      <w:r>
        <w:t xml:space="preserve">.1. </w:t>
      </w:r>
      <w:r>
        <w:t xml:space="preserve">Цена Договора </w:t>
      </w:r>
      <w:r>
        <w:t xml:space="preserve">за весь объем Товара </w:t>
      </w:r>
      <w:r>
        <w:t xml:space="preserve">определенного в п. 1.</w:t>
      </w:r>
      <w:r>
        <w:t xml:space="preserve">2</w:t>
      </w:r>
      <w:r>
        <w:t xml:space="preserve"> договора, </w:t>
      </w:r>
      <w:r>
        <w:t xml:space="preserve">составляет </w:t>
      </w:r>
      <w:r>
        <w:t xml:space="preserve">________________________</w:t>
      </w:r>
      <w:r>
        <w:t xml:space="preserve"> рублей </w:t>
      </w:r>
      <w:r>
        <w:t xml:space="preserve">________</w:t>
      </w:r>
      <w:r>
        <w:t xml:space="preserve"> копеек, в том числе НДС </w:t>
      </w:r>
      <w:r>
        <w:t xml:space="preserve">___/НДС не облагается</w:t>
      </w:r>
      <w:r>
        <w:t xml:space="preserve">.</w:t>
      </w:r>
      <w:r>
        <w:t xml:space="preserve"> </w:t>
      </w:r>
      <w:r>
        <w:br/>
      </w:r>
      <w:r>
        <w:t xml:space="preserve">Цена Договора является твёрдой, определяется на весь срок исполнения Договора и изменению не подлежит</w:t>
      </w:r>
      <w:r>
        <w:t xml:space="preserve">.</w:t>
      </w:r>
      <w:r/>
    </w:p>
    <w:p>
      <w:pPr>
        <w:jc w:val="both"/>
      </w:pPr>
      <w:r>
        <w:t xml:space="preserve">3.2. Цена Товара включает в себя все расходы и затраты Поставщика, связанные с исполнением Договора, в том числе: приобретени</w:t>
      </w:r>
      <w:r>
        <w:t xml:space="preserve">е</w:t>
      </w:r>
      <w:r>
        <w:t xml:space="preserve"> Товара, погрузки (налива в автоцистерны), доставки до согласованного Сторонами места,</w:t>
      </w:r>
      <w:r>
        <w:t xml:space="preserve"> </w:t>
      </w:r>
      <w:r>
        <w:t xml:space="preserve">подготовки и оформления всей необходимой для поставки и использования Товара документации, а также налоги, а для импортной продукции, кроме того, все установленные таможенные сборы и пошлины.</w:t>
      </w:r>
      <w:r/>
    </w:p>
    <w:p>
      <w:pPr>
        <w:jc w:val="both"/>
        <w:rPr>
          <w:spacing w:val="-6"/>
        </w:rPr>
      </w:pPr>
      <w:r>
        <w:rPr>
          <w:spacing w:val="-6"/>
        </w:rPr>
        <w:t xml:space="preserve">3</w:t>
      </w:r>
      <w:r>
        <w:rPr>
          <w:spacing w:val="-6"/>
        </w:rPr>
        <w:t xml:space="preserve">.3. Все расчеты по Договору производятся в безналичной форме (порядке), </w:t>
      </w:r>
      <w:r>
        <w:rPr>
          <w:spacing w:val="-6"/>
        </w:rPr>
        <w:t xml:space="preserve">на основании счетов </w:t>
      </w:r>
      <w:r>
        <w:rPr>
          <w:spacing w:val="-6"/>
        </w:rPr>
        <w:t xml:space="preserve">Поставщика,</w:t>
      </w:r>
      <w:r>
        <w:rPr>
          <w:spacing w:val="-6"/>
        </w:rPr>
        <w:t xml:space="preserve"> </w:t>
      </w:r>
      <w:r>
        <w:rPr>
          <w:spacing w:val="-6"/>
        </w:rPr>
        <w:t xml:space="preserve">путем перечисления причитающихся к уплате сумм денежных средств в валюте Российской Федерации</w:t>
      </w:r>
      <w:r>
        <w:rPr>
          <w:spacing w:val="-6"/>
        </w:rPr>
        <w:t xml:space="preserve">.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3</w:t>
      </w:r>
      <w:r>
        <w:rPr>
          <w:spacing w:val="-6"/>
        </w:rPr>
        <w:t xml:space="preserve">.4. </w:t>
      </w:r>
      <w:r>
        <w:rPr>
          <w:lang w:eastAsia="zh-CN"/>
        </w:rPr>
        <w:t xml:space="preserve">Расчеты по Договору осуществляются за фактически принятое Покупателем количество Товара в партии, согласно подписанн</w:t>
      </w:r>
      <w:r>
        <w:rPr>
          <w:lang w:eastAsia="zh-CN"/>
        </w:rPr>
        <w:t xml:space="preserve">ой Сторонами Спецификации, данным приборов учета Покупателя, и сведениям товаросопроводительных документов, в безналичном порядке путем перечисления денежных средств на расчетный счет Поставщика в течение 7 (семи) рабочих дней с даты приемки партии Товара.</w:t>
      </w:r>
      <w:r>
        <w:rPr>
          <w:spacing w:val="-6"/>
        </w:rPr>
        <w:t xml:space="preserve"> </w:t>
      </w:r>
      <w:r>
        <w:rPr>
          <w:spacing w:val="-6"/>
        </w:rPr>
        <w:t xml:space="preserve">Если в Спецификации не установлен иной порядок оплаты. 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3</w:t>
      </w:r>
      <w:r>
        <w:rPr>
          <w:spacing w:val="-6"/>
        </w:rPr>
        <w:t xml:space="preserve">.</w:t>
      </w:r>
      <w:r>
        <w:rPr>
          <w:spacing w:val="-6"/>
        </w:rPr>
        <w:t xml:space="preserve">5</w:t>
      </w:r>
      <w:r>
        <w:rPr>
          <w:spacing w:val="-6"/>
        </w:rPr>
        <w:t xml:space="preserve">. Датой оплаты Товара считается дата зачисления денежных средств на расчетный счет Поставщика.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3</w:t>
      </w:r>
      <w:r>
        <w:rPr>
          <w:spacing w:val="-6"/>
        </w:rPr>
        <w:t xml:space="preserve">.</w:t>
      </w:r>
      <w:r>
        <w:rPr>
          <w:spacing w:val="-6"/>
        </w:rPr>
        <w:t xml:space="preserve">6</w:t>
      </w:r>
      <w:r>
        <w:rPr>
          <w:spacing w:val="-6"/>
        </w:rPr>
        <w:t xml:space="preserve">. </w:t>
      </w:r>
      <w:r>
        <w:rPr>
          <w:spacing w:val="-6"/>
        </w:rPr>
        <w:t xml:space="preserve">Покупатель</w:t>
      </w:r>
      <w:r>
        <w:rPr>
          <w:spacing w:val="-6"/>
        </w:rPr>
        <w:t xml:space="preserve"> не несет ответственности за нарушение установленного срока расчетов с Поставщиком в следующих случаях: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1) если Поставщик не представил </w:t>
      </w:r>
      <w:r>
        <w:rPr>
          <w:spacing w:val="-6"/>
        </w:rPr>
        <w:t xml:space="preserve">Покупателю</w:t>
      </w:r>
      <w:r>
        <w:rPr>
          <w:spacing w:val="-6"/>
        </w:rPr>
        <w:t xml:space="preserve"> все предусмотренные настоящим Договором оформленные документы в установленный срок;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2) если документы, представленные Поставщиком, содержат ошибки либо неточности (в том числе, неверно указаны платежные и иные реквизиты в выставленном </w:t>
      </w:r>
      <w:r>
        <w:rPr>
          <w:spacing w:val="-6"/>
        </w:rPr>
        <w:t xml:space="preserve">Покупателю </w:t>
      </w:r>
      <w:r>
        <w:rPr>
          <w:spacing w:val="-6"/>
        </w:rPr>
        <w:t xml:space="preserve">счета на оплату).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  <w:t xml:space="preserve">3.</w:t>
      </w:r>
      <w:r>
        <w:rPr>
          <w:spacing w:val="-6"/>
        </w:rPr>
        <w:t xml:space="preserve">7</w:t>
      </w:r>
      <w:r>
        <w:rPr>
          <w:spacing w:val="-6"/>
        </w:rPr>
        <w:t xml:space="preserve">. В случае наличия у Поставщика установленной системы ЭДО «</w:t>
      </w:r>
      <w:r>
        <w:rPr>
          <w:spacing w:val="-6"/>
        </w:rPr>
        <w:t xml:space="preserve">Диадок</w:t>
      </w:r>
      <w:r>
        <w:rPr>
          <w:spacing w:val="-6"/>
        </w:rPr>
        <w:t xml:space="preserve">», документы для оплаты предоставляются через систему ЭДО.</w:t>
      </w:r>
      <w:r>
        <w:rPr>
          <w:spacing w:val="-6"/>
        </w:rPr>
      </w:r>
    </w:p>
    <w:p>
      <w:pPr>
        <w:jc w:val="both"/>
        <w:rPr>
          <w:spacing w:val="-6"/>
        </w:rPr>
      </w:pPr>
      <w:r>
        <w:rPr>
          <w:spacing w:val="-6"/>
        </w:rPr>
      </w:r>
      <w:r>
        <w:rPr>
          <w:spacing w:val="-6"/>
        </w:rPr>
      </w:r>
    </w:p>
    <w:p>
      <w:pPr>
        <w:ind w:left="1020"/>
        <w:jc w:val="center"/>
        <w:rPr>
          <w:b/>
          <w:bCs/>
        </w:rPr>
      </w:pPr>
      <w:r>
        <w:rPr>
          <w:b/>
          <w:bCs/>
        </w:rPr>
        <w:t xml:space="preserve">4</w:t>
      </w:r>
      <w:r>
        <w:rPr>
          <w:b/>
          <w:bCs/>
        </w:rPr>
        <w:t xml:space="preserve">. </w:t>
      </w:r>
      <w:r>
        <w:rPr>
          <w:b/>
          <w:bCs/>
        </w:rPr>
        <w:t xml:space="preserve">Права и обязанности Сторон</w:t>
      </w:r>
      <w:r>
        <w:rPr>
          <w:b/>
          <w:bCs/>
        </w:rPr>
      </w:r>
    </w:p>
    <w:p>
      <w:pPr>
        <w:jc w:val="both"/>
        <w:widowControl w:val="off"/>
        <w:tabs>
          <w:tab w:val="left" w:pos="1418" w:leader="none"/>
        </w:tabs>
        <w:rPr>
          <w:b/>
        </w:rPr>
      </w:pPr>
      <w:r>
        <w:rPr>
          <w:b/>
        </w:rPr>
        <w:t xml:space="preserve">4</w:t>
      </w:r>
      <w:r>
        <w:rPr>
          <w:b/>
        </w:rPr>
        <w:t xml:space="preserve">.1. </w:t>
      </w:r>
      <w:r>
        <w:rPr>
          <w:b/>
        </w:rPr>
        <w:t xml:space="preserve">Покупатель </w:t>
      </w:r>
      <w:r>
        <w:rPr>
          <w:b/>
        </w:rPr>
        <w:t xml:space="preserve">обязуется:</w:t>
      </w:r>
      <w:r>
        <w:rPr>
          <w:b/>
        </w:rPr>
      </w:r>
    </w:p>
    <w:p>
      <w:pPr>
        <w:pStyle w:val="776"/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  <w:tab w:val="left" w:pos="993" w:leader="none"/>
        </w:tabs>
      </w:pPr>
      <w:r/>
      <w:bookmarkStart w:id="1" w:name="e105-1"/>
      <w:r/>
      <w:bookmarkEnd w:id="1"/>
      <w:r>
        <w:t xml:space="preserve">Выполнить с привлечением своих уполномоченных должностных лиц, все необходимые действия, обеспечивающие надлежащее принятие Товара по количеству, качеству, в соответствии с условиями Договора</w:t>
      </w:r>
      <w:bookmarkStart w:id="2" w:name="eE0A1C8C6"/>
      <w:r/>
      <w:bookmarkEnd w:id="2"/>
      <w:r>
        <w:t xml:space="preserve">.</w:t>
      </w:r>
      <w:r/>
    </w:p>
    <w:p>
      <w:pPr>
        <w:pStyle w:val="776"/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  <w:tab w:val="left" w:pos="993" w:leader="none"/>
        </w:tabs>
      </w:pPr>
      <w:r>
        <w:t xml:space="preserve">Предоставлять Поставщику информацию, необходимую для выполнения обязательств по Договору.</w:t>
      </w:r>
      <w:bookmarkStart w:id="3" w:name="e108-1"/>
      <w:r/>
      <w:bookmarkEnd w:id="3"/>
      <w:r/>
      <w:r/>
    </w:p>
    <w:p>
      <w:pPr>
        <w:pStyle w:val="776"/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  <w:tab w:val="left" w:pos="993" w:leader="none"/>
        </w:tabs>
      </w:pPr>
      <w:r>
        <w:t xml:space="preserve">Оплатить Товар в размере, сроки и в порядке, которые предусмотрены </w:t>
      </w:r>
      <w:r>
        <w:rPr>
          <w:bCs/>
        </w:rPr>
        <w:t xml:space="preserve">разделом </w:t>
      </w:r>
      <w:r>
        <w:rPr>
          <w:bCs/>
        </w:rPr>
        <w:t xml:space="preserve">3</w:t>
      </w:r>
      <w:r>
        <w:rPr>
          <w:bCs/>
        </w:rPr>
        <w:t xml:space="preserve"> Д</w:t>
      </w:r>
      <w:r>
        <w:t xml:space="preserve">оговора.</w:t>
      </w:r>
      <w:bookmarkStart w:id="4" w:name="_Hlk195715003"/>
      <w:r/>
      <w:r/>
    </w:p>
    <w:p>
      <w:pPr>
        <w:pStyle w:val="776"/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  <w:tab w:val="left" w:pos="993" w:leader="none"/>
        </w:tabs>
      </w:pPr>
      <w:r>
        <w:t xml:space="preserve">При расторжении договора в одностороннем порядке по вине Поставщика </w:t>
      </w:r>
      <w:r>
        <w:t xml:space="preserve">Покупатель</w:t>
      </w:r>
      <w:r>
        <w:t xml:space="preserve"> </w:t>
      </w:r>
      <w:r>
        <w:t xml:space="preserve">вправе </w:t>
      </w:r>
      <w:r>
        <w:t xml:space="preserve">предъявить требование об уплате неусто</w:t>
      </w:r>
      <w:r>
        <w:t xml:space="preserve">ек (штрафов, пеней) в связи с неисполнением или ненадлежащим исполнением обязательств, предусмотренных Договором, а также обратиться к Поставщику с требованием о возмещении документально подтвержденного реального ущерба (понесенных убытков при их наличии).</w:t>
      </w:r>
      <w:bookmarkEnd w:id="4"/>
      <w:r/>
      <w:r/>
    </w:p>
    <w:p>
      <w:pPr>
        <w:pStyle w:val="776"/>
        <w:numPr>
          <w:ilvl w:val="1"/>
          <w:numId w:val="19"/>
        </w:numPr>
        <w:ind w:left="0" w:firstLine="0"/>
        <w:jc w:val="both"/>
        <w:widowControl w:val="off"/>
        <w:tabs>
          <w:tab w:val="left" w:pos="567" w:leader="none"/>
        </w:tabs>
        <w:rPr>
          <w:b/>
        </w:rPr>
      </w:pPr>
      <w:r/>
      <w:bookmarkStart w:id="5" w:name="e111"/>
      <w:r/>
      <w:bookmarkStart w:id="6" w:name="e114"/>
      <w:r/>
      <w:bookmarkStart w:id="7" w:name="e7629775B"/>
      <w:r/>
      <w:bookmarkEnd w:id="5"/>
      <w:r/>
      <w:bookmarkEnd w:id="6"/>
      <w:r/>
      <w:bookmarkEnd w:id="7"/>
      <w:r>
        <w:rPr>
          <w:b/>
        </w:rPr>
        <w:t xml:space="preserve">Поставщик обязуется:</w:t>
      </w:r>
      <w:r>
        <w:rPr>
          <w:b/>
        </w:rPr>
      </w:r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</w:tabs>
      </w:pPr>
      <w:r/>
      <w:bookmarkStart w:id="8" w:name="e97-1"/>
      <w:r/>
      <w:bookmarkStart w:id="9" w:name="eD5C49B51"/>
      <w:r/>
      <w:bookmarkEnd w:id="8"/>
      <w:r/>
      <w:bookmarkEnd w:id="9"/>
      <w:r>
        <w:t xml:space="preserve">Передать </w:t>
      </w:r>
      <w:r>
        <w:t xml:space="preserve">Покупателю</w:t>
      </w:r>
      <w:r>
        <w:t xml:space="preserve"> Товар в количестве и качестве в порядке и на условиях, предусмотренных Договором.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</w:tabs>
        <w:rPr>
          <w:rFonts w:eastAsia="Calibri"/>
        </w:rPr>
      </w:pPr>
      <w:r>
        <w:t xml:space="preserve">Передать</w:t>
      </w:r>
      <w:r>
        <w:rPr>
          <w:bCs/>
        </w:rPr>
        <w:t xml:space="preserve"> поставляемый Товар свободным от прав и притязаний любых третьих лиц, вытекающих из других договоров или односторонних сделок, заключенных Поставщиком, чтобы Товар не являлся предметом спора, не был заложен, не состоял под арестом (запрещением</w:t>
      </w:r>
      <w:r>
        <w:rPr>
          <w:rFonts w:eastAsia="Calibri"/>
          <w:bCs/>
        </w:rPr>
        <w:t xml:space="preserve">).</w:t>
      </w:r>
      <w:r>
        <w:rPr>
          <w:rFonts w:eastAsia="Calibri"/>
        </w:rPr>
      </w:r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</w:tabs>
        <w:rPr>
          <w:rFonts w:eastAsia="Calibri"/>
        </w:rPr>
      </w:pPr>
      <w:r>
        <w:rPr>
          <w:rFonts w:eastAsia="Calibri"/>
        </w:rPr>
        <w:t xml:space="preserve">Передать </w:t>
      </w:r>
      <w:r>
        <w:rPr>
          <w:rFonts w:eastAsia="Calibri"/>
        </w:rPr>
        <w:t xml:space="preserve">Покупателю</w:t>
      </w:r>
      <w:r>
        <w:rPr>
          <w:rFonts w:eastAsia="Calibri"/>
        </w:rPr>
        <w:t xml:space="preserve"> необходимые документы, в том числе: </w:t>
      </w:r>
      <w:r>
        <w:t xml:space="preserve">паспорта качества или сертификата соответствия на Товар</w:t>
      </w:r>
      <w:r>
        <w:rPr>
          <w:rFonts w:eastAsia="Calibri"/>
        </w:rPr>
        <w:t xml:space="preserve">, отгрузочные документы, оформленные в соответствии с требованиями действующего законодательства РФ. В случае, если по какой-либо причине документы, </w:t>
      </w:r>
      <w:r>
        <w:rPr>
          <w:rFonts w:eastAsia="Calibri"/>
        </w:rPr>
        <w:t xml:space="preserve">подлежащие передаче одновременно с Товаром, не были переданы в момент передачи Товара, Поставщик обязуется предоставить недостающие документы в разумный срок с помощью почтового отправления, электронных средств связи, или иным способом по договоренности с </w:t>
      </w:r>
      <w:r>
        <w:rPr>
          <w:rFonts w:eastAsia="Calibri"/>
        </w:rPr>
        <w:t xml:space="preserve">Покупателем</w:t>
      </w:r>
      <w:r>
        <w:rPr>
          <w:rFonts w:eastAsia="Calibri"/>
        </w:rPr>
        <w:t xml:space="preserve">.</w:t>
      </w:r>
      <w:r>
        <w:rPr>
          <w:rFonts w:eastAsia="Calibri"/>
        </w:rPr>
      </w:r>
    </w:p>
    <w:p>
      <w:pPr>
        <w:numPr>
          <w:ilvl w:val="1"/>
          <w:numId w:val="19"/>
        </w:numPr>
        <w:ind w:left="0" w:firstLine="0"/>
        <w:jc w:val="both"/>
        <w:widowControl w:val="off"/>
        <w:tabs>
          <w:tab w:val="left" w:pos="567" w:leader="none"/>
        </w:tabs>
        <w:rPr>
          <w:b/>
        </w:rPr>
      </w:pPr>
      <w:r>
        <w:rPr>
          <w:b/>
        </w:rPr>
        <w:t xml:space="preserve">Покупатель</w:t>
      </w:r>
      <w:r>
        <w:rPr>
          <w:b/>
        </w:rPr>
        <w:t xml:space="preserve"> вправе:</w:t>
      </w:r>
      <w:r>
        <w:rPr>
          <w:b/>
        </w:rPr>
      </w:r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567" w:leader="none"/>
          <w:tab w:val="left" w:pos="1560" w:leader="none"/>
        </w:tabs>
      </w:pPr>
      <w:r/>
      <w:bookmarkStart w:id="10" w:name="e121"/>
      <w:r/>
      <w:bookmarkStart w:id="11" w:name="e122"/>
      <w:r/>
      <w:bookmarkEnd w:id="10"/>
      <w:r/>
      <w:bookmarkEnd w:id="11"/>
      <w:r>
        <w:t xml:space="preserve">При передаче Поставщиком Товара ненадлежащего качества, если Поставщик не заменит Товар ненадлежащего качества в разумные сроки, потребовать по своему выбору:</w:t>
      </w:r>
      <w:r/>
    </w:p>
    <w:p>
      <w:pPr>
        <w:jc w:val="both"/>
        <w:widowControl w:val="off"/>
        <w:tabs>
          <w:tab w:val="left" w:pos="567" w:leader="none"/>
          <w:tab w:val="left" w:pos="1560" w:leader="none"/>
        </w:tabs>
      </w:pPr>
      <w:r>
        <w:t xml:space="preserve">- безвозмездного устранения недостатков Товара в </w:t>
      </w:r>
      <w:r>
        <w:t xml:space="preserve">пятидневный</w:t>
      </w:r>
      <w:r>
        <w:t xml:space="preserve"> срок с даты получения соответствующей претензии на свой адрес;</w:t>
      </w:r>
      <w:r/>
    </w:p>
    <w:p>
      <w:pPr>
        <w:jc w:val="both"/>
        <w:widowControl w:val="off"/>
        <w:tabs>
          <w:tab w:val="left" w:pos="284" w:leader="none"/>
          <w:tab w:val="left" w:pos="426" w:leader="none"/>
          <w:tab w:val="left" w:pos="1560" w:leader="none"/>
        </w:tabs>
      </w:pPr>
      <w:r>
        <w:t xml:space="preserve">- возмещения своих расходов на устранение недостатков Товара в пятнадцатидневный срок с момента предоставления </w:t>
      </w:r>
      <w:r>
        <w:t xml:space="preserve">Покупателем</w:t>
      </w:r>
      <w:r>
        <w:t xml:space="preserve"> заверенных копий, соответствующих первичных документов, подтверждающих такие расходы</w:t>
      </w:r>
      <w:r>
        <w:t xml:space="preserve">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В случае существенного нарушения Поставщиком требований к качеству Тов</w:t>
      </w:r>
      <w:r>
        <w:t xml:space="preserve">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 своему выбору:</w:t>
      </w:r>
      <w:r/>
    </w:p>
    <w:p>
      <w:pPr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- отказаться от исполнения Договора в одностороннем порядке;</w:t>
      </w:r>
      <w:r/>
    </w:p>
    <w:p>
      <w:pPr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- потребовать замены Товара ненадлежащего качества Товаром, соответствующим условиям Договора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Осуществлять контроль над ходом исполнения Договора без вмешательства в оперативно-хозяйственную деятельность Поставщика.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Требовать от Поставщика представления надлежащим образом оформленных отчетных документов, подтверждающих исполнение обязательств в соответствии с договором.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284" w:leader="none"/>
          <w:tab w:val="left" w:pos="426" w:leader="none"/>
          <w:tab w:val="left" w:pos="709" w:leader="none"/>
        </w:tabs>
      </w:pPr>
      <w:r>
        <w:t xml:space="preserve">Проверять качество поставленного Товара, предусмотренного настоящим договором.</w:t>
      </w:r>
      <w:r/>
    </w:p>
    <w:p>
      <w:pPr>
        <w:numPr>
          <w:ilvl w:val="2"/>
          <w:numId w:val="19"/>
        </w:numPr>
        <w:ind w:left="0" w:firstLine="0"/>
        <w:jc w:val="both"/>
        <w:tabs>
          <w:tab w:val="left" w:pos="284" w:leader="none"/>
          <w:tab w:val="left" w:pos="426" w:leader="none"/>
        </w:tabs>
      </w:pPr>
      <w:r>
        <w:t xml:space="preserve">В случае неисполнения или ненадлежащего исполнения Поставщиком обязательств, предусмотренных Договором, </w:t>
      </w:r>
      <w:r>
        <w:t xml:space="preserve">Покупатель</w:t>
      </w:r>
      <w:r>
        <w:t xml:space="preserve"> вп</w:t>
      </w:r>
      <w:r>
        <w:t xml:space="preserve">раве расторгнуть Договор в одностороннем или судебном порядке, взыскать неустойку с Поставщика за ненадлежащее исполнение обязательств, предусмотренных Договором, а также обратиться к Поставщику с требованием о возмещении понесенных убытков при их наличии.</w:t>
      </w:r>
      <w:r/>
    </w:p>
    <w:p>
      <w:pPr>
        <w:numPr>
          <w:ilvl w:val="1"/>
          <w:numId w:val="19"/>
        </w:numPr>
        <w:ind w:left="0" w:firstLine="0"/>
        <w:jc w:val="both"/>
        <w:widowControl w:val="off"/>
        <w:tabs>
          <w:tab w:val="left" w:pos="709" w:leader="none"/>
        </w:tabs>
        <w:rPr>
          <w:b/>
        </w:rPr>
      </w:pPr>
      <w:r/>
      <w:bookmarkStart w:id="12" w:name="e123-1"/>
      <w:r/>
      <w:bookmarkStart w:id="13" w:name="e124"/>
      <w:r/>
      <w:bookmarkStart w:id="14" w:name="eF23D8A65"/>
      <w:r/>
      <w:bookmarkEnd w:id="12"/>
      <w:r/>
      <w:bookmarkEnd w:id="13"/>
      <w:r/>
      <w:bookmarkEnd w:id="14"/>
      <w:r>
        <w:rPr>
          <w:b/>
        </w:rPr>
        <w:t xml:space="preserve">Поставщик вправе:</w:t>
      </w:r>
      <w:r>
        <w:rPr>
          <w:b/>
        </w:rPr>
      </w:r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709" w:leader="none"/>
          <w:tab w:val="left" w:pos="1560" w:leader="none"/>
        </w:tabs>
      </w:pPr>
      <w:r/>
      <w:bookmarkStart w:id="15" w:name="e115"/>
      <w:r/>
      <w:bookmarkEnd w:id="15"/>
      <w:r>
        <w:t xml:space="preserve">По своему выбору потребовать оплаты Товара либо отказаться от исполнения Договора, если </w:t>
      </w:r>
      <w:r>
        <w:t xml:space="preserve">Покупатель</w:t>
      </w:r>
      <w:r>
        <w:t xml:space="preserve"> в нарушение условий или порядка, предусмотренных Договором, отказывается принять и/или оплатить Товар.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709" w:leader="none"/>
          <w:tab w:val="left" w:pos="1560" w:leader="none"/>
        </w:tabs>
      </w:pPr>
      <w:r>
        <w:t xml:space="preserve">Потребовать от </w:t>
      </w:r>
      <w:r>
        <w:t xml:space="preserve">Покупателя</w:t>
      </w:r>
      <w:r>
        <w:t xml:space="preserve"> оплаты Товара, в случаях, когда </w:t>
      </w:r>
      <w:r>
        <w:t xml:space="preserve">Покупатель</w:t>
      </w:r>
      <w:r>
        <w:t xml:space="preserve"> (его уполномоченные должностные лица) без установленных на то законодательством или Договором оснований не осуществляет действия по приему Товара от Поставщика или прямо отказывается от его принятия.</w:t>
      </w:r>
      <w:r/>
    </w:p>
    <w:p>
      <w:pPr>
        <w:numPr>
          <w:ilvl w:val="2"/>
          <w:numId w:val="19"/>
        </w:numPr>
        <w:ind w:left="0" w:firstLine="0"/>
        <w:jc w:val="both"/>
        <w:widowControl w:val="off"/>
        <w:tabs>
          <w:tab w:val="left" w:pos="709" w:leader="none"/>
          <w:tab w:val="left" w:pos="1560" w:leader="none"/>
        </w:tabs>
      </w:pPr>
      <w:r/>
      <w:bookmarkStart w:id="16" w:name="e117"/>
      <w:r/>
      <w:bookmarkEnd w:id="16"/>
      <w:r>
        <w:t xml:space="preserve">По согласованию с </w:t>
      </w:r>
      <w:r>
        <w:t xml:space="preserve">Покупателем</w:t>
      </w:r>
      <w:r>
        <w:t xml:space="preserve"> (путем заключения дополнительного соглашения) поставить Товар, качество</w:t>
      </w:r>
      <w:r>
        <w:t xml:space="preserve"> и</w:t>
      </w:r>
      <w:r>
        <w:t xml:space="preserve"> технические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  <w:r/>
    </w:p>
    <w:p>
      <w:pPr>
        <w:jc w:val="both"/>
      </w:pPr>
      <w:r/>
      <w:r/>
    </w:p>
    <w:p>
      <w:pPr>
        <w:jc w:val="center"/>
        <w:rPr>
          <w:b/>
          <w:bCs/>
        </w:rPr>
      </w:pPr>
      <w:r>
        <w:rPr>
          <w:b/>
          <w:bCs/>
        </w:rPr>
        <w:t xml:space="preserve">5</w:t>
      </w:r>
      <w:r>
        <w:rPr>
          <w:b/>
          <w:bCs/>
        </w:rPr>
        <w:t xml:space="preserve">. Конфиденциальность</w:t>
      </w:r>
      <w:r>
        <w:rPr>
          <w:b/>
          <w:bCs/>
        </w:rPr>
      </w:r>
    </w:p>
    <w:p>
      <w:pPr>
        <w:pStyle w:val="776"/>
        <w:numPr>
          <w:ilvl w:val="1"/>
          <w:numId w:val="20"/>
        </w:numPr>
        <w:ind w:left="0" w:firstLine="0"/>
        <w:jc w:val="both"/>
      </w:pPr>
      <w:r>
        <w:t xml:space="preserve">Условия настоящего Договора конфиденциальны и не подлежат разглашению.</w:t>
      </w:r>
      <w:r/>
    </w:p>
    <w:p>
      <w:pPr>
        <w:pStyle w:val="776"/>
        <w:numPr>
          <w:ilvl w:val="1"/>
          <w:numId w:val="20"/>
        </w:numPr>
        <w:ind w:left="0" w:firstLine="0"/>
        <w:jc w:val="both"/>
      </w:pPr>
      <w:r>
        <w:t xml:space="preserve">Стороны принимают все необходимые меры для того, чтобы их сотрудники</w:t>
      </w:r>
      <w:r>
        <w:t xml:space="preserve"> </w:t>
      </w:r>
      <w:r>
        <w:t xml:space="preserve">без предварительного согласия другой Стороны не информировали третьих лиц о деталях данного Договора и Приложения к нему.</w:t>
      </w:r>
      <w:r/>
    </w:p>
    <w:p>
      <w:pPr>
        <w:pStyle w:val="776"/>
        <w:numPr>
          <w:ilvl w:val="1"/>
          <w:numId w:val="20"/>
        </w:numPr>
        <w:ind w:left="0" w:firstLine="0"/>
        <w:jc w:val="both"/>
      </w:pPr>
      <w:r>
        <w:t xml:space="preserve">Условия настоящего раздела не применяются в случае, если разглашение условий Договора обусловлено требованиями, предусмотренными действующим законодательством РФ, закон</w:t>
      </w:r>
      <w:r>
        <w:t xml:space="preserve">ными требованиями контрольных и надзорных органов власти, а также предусмотренными условиями договоров (соглашений) о предоставлении субсидии (гранта в форме субсидии) за счет средств которых Покупатель исполнял свои финансовые обязательства по настоящему </w:t>
      </w:r>
      <w:r>
        <w:t xml:space="preserve">д</w:t>
      </w:r>
      <w:r>
        <w:t xml:space="preserve">оговору.</w:t>
      </w:r>
      <w:r/>
    </w:p>
    <w:p>
      <w:pPr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</w:rPr>
        <w:outlineLvl w:val="0"/>
      </w:pPr>
      <w:r>
        <w:rPr>
          <w:b/>
        </w:rPr>
        <w:t xml:space="preserve">6</w:t>
      </w:r>
      <w:r>
        <w:rPr>
          <w:b/>
        </w:rPr>
        <w:t xml:space="preserve">. Ответственность Сторон</w:t>
      </w:r>
      <w:r>
        <w:rPr>
          <w:b/>
        </w:rPr>
      </w:r>
    </w:p>
    <w:p>
      <w:pPr>
        <w:jc w:val="both"/>
      </w:pPr>
      <w:r>
        <w:t xml:space="preserve">6</w:t>
      </w:r>
      <w:r>
        <w:t xml:space="preserve">.1.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  <w:r/>
    </w:p>
    <w:p>
      <w:pPr>
        <w:jc w:val="both"/>
      </w:pPr>
      <w:r>
        <w:t xml:space="preserve">6</w:t>
      </w:r>
      <w:r>
        <w:t xml:space="preserve">.2.</w:t>
      </w:r>
      <w:r>
        <w:t xml:space="preserve"> </w:t>
      </w:r>
      <w:r>
        <w:t xml:space="preserve">В случае просрочки исполнения </w:t>
      </w:r>
      <w:r>
        <w:t xml:space="preserve">Покупателем</w:t>
      </w:r>
      <w:r>
        <w:t xml:space="preserve"> обязательств, предусмотренных Договором, а также в иных случаях неисполнения или ненадлежащего исполнения </w:t>
      </w:r>
      <w:r>
        <w:t xml:space="preserve">Покупателем</w:t>
      </w:r>
      <w:r>
        <w:t xml:space="preserve"> обязательств, предусмотренных Договором, Поставщик вправе потребовать уплаты неустоек (штрафов, пеней) в размере 0,1% от цены Договора, указанной в п. </w:t>
      </w:r>
      <w:r>
        <w:t xml:space="preserve">3</w:t>
      </w:r>
      <w:r>
        <w:t xml:space="preserve">.1 Договора, уменьшенной на сумму, пропорциональную объему обязательств, предусмотренных Договором и фактически исполненных </w:t>
      </w:r>
      <w:r>
        <w:t xml:space="preserve">Покупателем</w:t>
      </w:r>
      <w:r>
        <w:t xml:space="preserve">.</w:t>
      </w:r>
      <w:r/>
    </w:p>
    <w:p>
      <w:pPr>
        <w:jc w:val="both"/>
      </w:pPr>
      <w:r>
        <w:t xml:space="preserve">Пеня начисляется за каждый день просрочки исполнения </w:t>
      </w:r>
      <w:r>
        <w:t xml:space="preserve">Покупателем</w:t>
      </w:r>
      <w: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  <w:r/>
    </w:p>
    <w:p>
      <w:pPr>
        <w:jc w:val="both"/>
      </w:pPr>
      <w:r>
        <w:t xml:space="preserve">6</w:t>
      </w:r>
      <w:r>
        <w:t xml:space="preserve">.3.</w:t>
      </w:r>
      <w:r>
        <w:tab/>
        <w:t xml:space="preserve">В случае нарушения Поставщиком сроков поставки Товара, предусмотренных Договором, а также в иных случаях неисполнения или ненадлежащего исполнения Поставщиком обязательств, предусмотренных Договором, </w:t>
      </w:r>
      <w:r>
        <w:t xml:space="preserve">Покупатель</w:t>
      </w:r>
      <w:r>
        <w:t xml:space="preserve"> вправе потребовать от Поставщика уплаты неустойки (пени) в размере 0,1% от цены Договора, указанной в п. </w:t>
      </w:r>
      <w:r>
        <w:t xml:space="preserve">3</w:t>
      </w:r>
      <w:r>
        <w:t xml:space="preserve">.1 Договора, уменьшенной на сумму, пропорциональную объему обязательств, предусмотренных Договором и фактически исполненных Поставщиком.</w:t>
      </w:r>
      <w:r/>
    </w:p>
    <w:p>
      <w:pPr>
        <w:jc w:val="both"/>
      </w:pPr>
      <w:r>
        <w:t xml:space="preserve"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  <w:r/>
    </w:p>
    <w:p>
      <w:pPr>
        <w:jc w:val="both"/>
      </w:pPr>
      <w:r>
        <w:t xml:space="preserve">6</w:t>
      </w:r>
      <w:r>
        <w:t xml:space="preserve">.4.</w:t>
      </w:r>
      <w:r>
        <w:tab/>
        <w:t xml:space="preserve">В случае неисполнения или доказанного ненадлежащего исполнения Поставщиком обязательств, предусмотренных Договором, Поставщик по письменному требованию </w:t>
      </w:r>
      <w:r>
        <w:t xml:space="preserve">Покупателя</w:t>
      </w:r>
      <w:r>
        <w:t xml:space="preserve"> уплачивает неустойку в виде штрафа (пени) в размере 10 % (десяти) процентов от цены Договора, указанной в п. </w:t>
      </w:r>
      <w:r>
        <w:t xml:space="preserve">3</w:t>
      </w:r>
      <w:r>
        <w:t xml:space="preserve">.1 Договора.</w:t>
      </w:r>
      <w:r/>
    </w:p>
    <w:p>
      <w:pPr>
        <w:jc w:val="both"/>
      </w:pPr>
      <w:r>
        <w:t xml:space="preserve">6</w:t>
      </w:r>
      <w:r>
        <w:t xml:space="preserve">.5. В случае необоснованного одностороннего отказа Поставщика от выполнения обязательств, предусмотренных условиями Договора, Поставщик по письменному требованию </w:t>
      </w:r>
      <w:r>
        <w:t xml:space="preserve">Покупателя </w:t>
      </w:r>
      <w:r>
        <w:t xml:space="preserve">уплачивает неустойку в виде штрафа (пени) в размере 10 % (десяти) процентов от цены Договора, указанной в п. </w:t>
      </w:r>
      <w:r>
        <w:t xml:space="preserve">3</w:t>
      </w:r>
      <w:r>
        <w:t xml:space="preserve">.1 Договора.</w:t>
      </w:r>
      <w:r/>
    </w:p>
    <w:p>
      <w:pPr>
        <w:jc w:val="both"/>
      </w:pPr>
      <w:r>
        <w:t xml:space="preserve">6</w:t>
      </w:r>
      <w:r>
        <w:t xml:space="preserve">.6. Общая сумма начисленной неустойки (штрафов, пени) за неисполнение или ненадлежащее исполнение Сторонами своих обязательств не может превышать цену Договора, указанную в п. </w:t>
      </w:r>
      <w:r>
        <w:t xml:space="preserve">3</w:t>
      </w:r>
      <w:r>
        <w:t xml:space="preserve">.1 Договора.</w:t>
      </w:r>
      <w:r/>
    </w:p>
    <w:p>
      <w:pPr>
        <w:jc w:val="both"/>
      </w:pPr>
      <w:r>
        <w:t xml:space="preserve">6</w:t>
      </w:r>
      <w:r>
        <w:t xml:space="preserve">.7.</w:t>
      </w:r>
      <w:r>
        <w:tab/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/>
    </w:p>
    <w:p>
      <w:pPr>
        <w:jc w:val="both"/>
      </w:pPr>
      <w:r>
        <w:t xml:space="preserve">6</w:t>
      </w:r>
      <w:r>
        <w:t xml:space="preserve">.8.</w:t>
      </w:r>
      <w:r>
        <w:tab/>
        <w:t xml:space="preserve">Выплата неустойки по настоящему Договору осуществляется на основании письменной</w:t>
      </w:r>
      <w:r>
        <w:t xml:space="preserve"> претензии Стороны, в адрес которой было допущено нарушение условий Договора. Неустойка в таком случае подлежит выплате нарушившей Стороной в течение 15 (пятнадцати) рабочих дней с даты получения претензии, определяемой в соответствии с условиями Договора.</w:t>
      </w:r>
      <w:r/>
    </w:p>
    <w:p>
      <w:pPr>
        <w:jc w:val="both"/>
      </w:pPr>
      <w:r>
        <w:t xml:space="preserve">6</w:t>
      </w:r>
      <w:r>
        <w:t xml:space="preserve">.9 Стороны установили, что выплата неустойки не освобождает Сторону, нарушившую Договор, от исполнения своих обязательств. Если иное не следует из условий Договора, выплата неустойки не освобождает Сторону от возмещения убытков.</w:t>
      </w:r>
      <w:r/>
    </w:p>
    <w:p>
      <w:pPr>
        <w:jc w:val="both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jc w:val="center"/>
        <w:rPr>
          <w:b/>
        </w:rPr>
      </w:pPr>
      <w:r>
        <w:rPr>
          <w:b/>
        </w:rPr>
        <w:t xml:space="preserve">7</w:t>
      </w:r>
      <w:r>
        <w:rPr>
          <w:b/>
        </w:rPr>
        <w:t xml:space="preserve">. Разрешение споров</w:t>
      </w:r>
      <w:r>
        <w:rPr>
          <w:b/>
        </w:rPr>
      </w:r>
    </w:p>
    <w:p>
      <w:pPr>
        <w:jc w:val="both"/>
      </w:pPr>
      <w:r>
        <w:t xml:space="preserve">7</w:t>
      </w:r>
      <w:r>
        <w:t xml:space="preserve">.1. В случае возникновения споров при исполнении настоящего договора или в связи с ним, С</w:t>
      </w:r>
      <w:r>
        <w:t xml:space="preserve">тороны</w:t>
      </w:r>
      <w:r>
        <w:t xml:space="preserve"> обязуются решать их путем переговоров, с соблюдением претензионного порядка. Срок рассмотрения претензии – </w:t>
      </w:r>
      <w:r>
        <w:t xml:space="preserve">1</w:t>
      </w:r>
      <w:r>
        <w:t xml:space="preserve">0</w:t>
      </w:r>
      <w:r>
        <w:t xml:space="preserve"> (десять) рабочих</w:t>
      </w:r>
      <w:r>
        <w:t xml:space="preserve"> дней, с момента ее получения ответчиком.</w:t>
      </w:r>
      <w:r/>
    </w:p>
    <w:p>
      <w:pPr>
        <w:pStyle w:val="758"/>
        <w:jc w:val="both"/>
        <w:rPr>
          <w:highlight w:val="none"/>
        </w:rPr>
      </w:pPr>
      <w:r>
        <w:t xml:space="preserve">7</w:t>
      </w:r>
      <w:r>
        <w:t xml:space="preserve">.2. В случае отказа в удовлетворении претензии или неполучении отв</w:t>
      </w:r>
      <w:r>
        <w:t xml:space="preserve">ета на претензию в указанный срок, все споры, которые возникнут из настоящего договора (соглашения) или в связи с ним, в том числе касающиеся его заключения, исполнения, нарушения, прекращения или недействительности, подлежат разрешению в Арбитражном суде Ямало-Ненецкого автономного округа.</w:t>
      </w:r>
      <w:r>
        <w:t xml:space="preserve"> </w:t>
      </w:r>
      <w:r>
        <w:rPr>
          <w:highlight w:val="none"/>
        </w:rPr>
      </w:r>
    </w:p>
    <w:p>
      <w:pPr>
        <w:pStyle w:val="758"/>
        <w:jc w:val="both"/>
        <w:rPr>
          <w:b/>
          <w:bCs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b/>
        </w:rPr>
        <w:outlineLvl w:val="0"/>
      </w:pPr>
      <w:r>
        <w:rPr>
          <w:b/>
        </w:rPr>
        <w:t xml:space="preserve">8</w:t>
      </w:r>
      <w:r>
        <w:rPr>
          <w:b/>
        </w:rPr>
        <w:t xml:space="preserve">. Форс-мажор</w:t>
      </w:r>
      <w:r>
        <w:rPr>
          <w:b/>
        </w:rPr>
      </w:r>
    </w:p>
    <w:p>
      <w:pPr>
        <w:jc w:val="both"/>
      </w:pPr>
      <w:r>
        <w:t xml:space="preserve">8</w:t>
      </w:r>
      <w:r>
        <w:t xml:space="preserve">.1. Любая из </w:t>
      </w:r>
      <w:r>
        <w:t xml:space="preserve">Сторон</w:t>
      </w:r>
      <w:r>
        <w:t xml:space="preserve"> освобождается от ответственности за неисполнение или ненадлежащее исполнение обязательств по настоящему договору, есл</w:t>
      </w:r>
      <w:r>
        <w:t xml:space="preserve">и докажет, что оно вызвано обстоятельствами непреодолимой силы (форс-мажор), факт наступления которых должен быть подтвержден сертификатом Торгово-промышленной палаты Российской Федерации либо Торгово-промышленных палат, расположенных по месту нахождения С</w:t>
      </w:r>
      <w:r>
        <w:t xml:space="preserve">торон</w:t>
      </w:r>
      <w:r>
        <w:t xml:space="preserve"> настоящего договора. К таким обстоятельствам,</w:t>
      </w:r>
      <w:r>
        <w:t xml:space="preserve"> в частности, относятся: наводнения, пожары, землетрясения, взрывы, эпидемии и иные явления природы, а также войны или военные действия, принятие органом государственной власти или управления решений, повлекших невозможность исполнения настоящего договора.</w:t>
      </w:r>
      <w:r/>
    </w:p>
    <w:p>
      <w:pPr>
        <w:jc w:val="both"/>
      </w:pPr>
      <w:r>
        <w:t xml:space="preserve">8</w:t>
      </w:r>
      <w:r>
        <w:t xml:space="preserve">.2. Сторона, для которой создалась невозможность надлежащего исполнения обязательств вследствие наступления обстоятельств форс-мажора, о предполагаемом сроке действия и прекращении таких обстоятельств обязана немедленно извещать другую С</w:t>
      </w:r>
      <w:r>
        <w:t xml:space="preserve">торону </w:t>
      </w:r>
      <w:r>
        <w:t xml:space="preserve">и несет риск убытков, ставших следствием не извещения или несвоевременности такого извещения.</w:t>
      </w:r>
      <w:r/>
    </w:p>
    <w:p>
      <w:pPr>
        <w:jc w:val="both"/>
      </w:pPr>
      <w:r>
        <w:t xml:space="preserve">8</w:t>
      </w:r>
      <w:r>
        <w:t xml:space="preserve">.3. Если невозможность надлежащего исполнения обязательств будет существовать свыше одного месяца, С</w:t>
      </w:r>
      <w:r>
        <w:t xml:space="preserve">тороны</w:t>
      </w:r>
      <w:r>
        <w:t xml:space="preserve"> проводят переговоры по вопросу продолжения либо прекращения действия настоящего договора. </w:t>
      </w:r>
      <w:r/>
    </w:p>
    <w:p>
      <w:pPr>
        <w:jc w:val="both"/>
      </w:pPr>
      <w:r/>
      <w:r/>
    </w:p>
    <w:p>
      <w:pPr>
        <w:contextualSpacing/>
        <w:jc w:val="center"/>
        <w:shd w:val="clear" w:color="auto" w:fill="ffffff"/>
        <w:rPr>
          <w:b/>
        </w:rPr>
      </w:pPr>
      <w:r>
        <w:rPr>
          <w:b/>
        </w:rPr>
        <w:t xml:space="preserve">9</w:t>
      </w:r>
      <w:r>
        <w:rPr>
          <w:b/>
        </w:rPr>
        <w:t xml:space="preserve">. </w:t>
      </w:r>
      <w:r>
        <w:rPr>
          <w:b/>
        </w:rPr>
        <w:t xml:space="preserve">Антикоррупционная оговорка</w:t>
      </w:r>
      <w:r>
        <w:rPr>
          <w:b/>
        </w:rPr>
      </w:r>
    </w:p>
    <w:p>
      <w:pPr>
        <w:jc w:val="both"/>
      </w:pPr>
      <w:r>
        <w:rPr>
          <w:rFonts w:eastAsia="Liberation Sans"/>
          <w:lang w:eastAsia="ru-RU"/>
        </w:rPr>
        <w:t xml:space="preserve">9</w:t>
      </w:r>
      <w:r>
        <w:rPr>
          <w:rFonts w:eastAsia="Liberation Sans"/>
          <w:lang w:eastAsia="ru-RU"/>
        </w:rPr>
        <w:t xml:space="preserve">.1.</w:t>
      </w:r>
      <w:r>
        <w:tab/>
        <w:t xml:space="preserve">При исполнении своих обязательств по настоящему Договору, Стороны, их аффилированные лица, работники или посредники не выплачивают, не п</w:t>
      </w:r>
      <w:r>
        <w:t xml:space="preserve">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/>
    </w:p>
    <w:p>
      <w:pPr>
        <w:jc w:val="both"/>
      </w:pPr>
      <w:r>
        <w:t xml:space="preserve">9</w:t>
      </w:r>
      <w:r>
        <w:t xml:space="preserve">.2.</w:t>
      </w:r>
      <w:r>
        <w:tab/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</w:t>
      </w:r>
      <w:r>
        <w:t xml:space="preserve">ящего Договора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/>
    </w:p>
    <w:p>
      <w:pPr>
        <w:jc w:val="both"/>
      </w:pPr>
      <w:r>
        <w:t xml:space="preserve">9</w:t>
      </w:r>
      <w:r>
        <w:t xml:space="preserve">.3.</w:t>
      </w:r>
      <w:r>
        <w:tab/>
        <w:t xml:space="preserve">В случае возникновения у Стороны подозрений, что произошло или может произойти нарушение каких-либо положений настояще</w:t>
      </w:r>
      <w:r>
        <w:t xml:space="preserve">го раздела</w:t>
      </w:r>
      <w:r>
        <w:t xml:space="preserve">, соответствующая Сторона обязуется уведомить другую Сторону в письменной форме. После письменного уведомления, соответствующая Сторона имеет пр</w:t>
      </w:r>
      <w:r>
        <w:t xml:space="preserve">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получения письменного уведомления.</w:t>
      </w:r>
      <w:r/>
    </w:p>
    <w:p>
      <w:pPr>
        <w:jc w:val="both"/>
      </w:pPr>
      <w:r>
        <w:t xml:space="preserve">9</w:t>
      </w:r>
      <w:r>
        <w:t xml:space="preserve">.4.</w:t>
      </w:r>
      <w:r>
        <w:tab/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произойдет или может произойти нарушение каких-либо положений настояще</w:t>
      </w:r>
      <w:r>
        <w:t xml:space="preserve">го раздела</w:t>
      </w:r>
      <w:r>
        <w:t xml:space="preserve"> </w:t>
      </w:r>
      <w:r>
        <w:t xml:space="preserve">поставщиком</w:t>
      </w:r>
      <w:r>
        <w:t xml:space="preserve">, его аффилированными лицами, работниками или посредниками выражающееся в действиях, ква</w:t>
      </w:r>
      <w:r>
        <w:t xml:space="preserve">лифицируемых применимым законодательством,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  <w:r/>
    </w:p>
    <w:p>
      <w:pPr>
        <w:jc w:val="both"/>
      </w:pPr>
      <w:r>
        <w:t xml:space="preserve">9</w:t>
      </w:r>
      <w:r>
        <w:t xml:space="preserve">.5.</w:t>
      </w:r>
      <w:r>
        <w:tab/>
        <w:t xml:space="preserve">В случае нарушения одной Стороной обязатель</w:t>
      </w:r>
      <w:r>
        <w:t xml:space="preserve">ств воздерживаться от запрещенных в данном разделе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</w:t>
      </w:r>
      <w:r>
        <w:t xml:space="preserve">ем порядке,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  <w:r/>
    </w:p>
    <w:p>
      <w:pPr>
        <w:contextualSpacing/>
        <w:jc w:val="both"/>
        <w:shd w:val="clear" w:color="auto" w:fill="ffffff"/>
        <w:rPr>
          <w:b/>
        </w:rPr>
      </w:pPr>
      <w:r>
        <w:rPr>
          <w:b/>
        </w:rPr>
      </w:r>
      <w:r>
        <w:rPr>
          <w:b/>
        </w:rPr>
      </w:r>
    </w:p>
    <w:p>
      <w:pPr>
        <w:jc w:val="center"/>
        <w:rPr>
          <w:b/>
        </w:rPr>
        <w:outlineLvl w:val="0"/>
      </w:pPr>
      <w:r>
        <w:rPr>
          <w:b/>
        </w:rPr>
        <w:t xml:space="preserve">1</w:t>
      </w:r>
      <w:r>
        <w:rPr>
          <w:b/>
        </w:rPr>
        <w:t xml:space="preserve">0</w:t>
      </w:r>
      <w:r>
        <w:rPr>
          <w:b/>
        </w:rPr>
        <w:t xml:space="preserve">. </w:t>
      </w:r>
      <w:r>
        <w:rPr>
          <w:b/>
        </w:rPr>
        <w:t xml:space="preserve">Прочие условия</w:t>
      </w:r>
      <w:r>
        <w:rPr>
          <w:b/>
        </w:rPr>
      </w:r>
    </w:p>
    <w:p>
      <w:pPr>
        <w:jc w:val="both"/>
      </w:pPr>
      <w:r>
        <w:t xml:space="preserve">1</w:t>
      </w:r>
      <w:r>
        <w:t xml:space="preserve">0</w:t>
      </w:r>
      <w:r>
        <w:t xml:space="preserve">.1. </w:t>
      </w:r>
      <w:r>
        <w:t xml:space="preserve">Настоящий Договор вступает в силу с даты его подписания Сторонами </w:t>
      </w:r>
      <w:r>
        <w:rPr>
          <w:b/>
          <w:bCs/>
        </w:rPr>
        <w:t xml:space="preserve">и действует</w:t>
      </w:r>
      <w:r>
        <w:rPr>
          <w:b/>
          <w:bCs/>
        </w:rPr>
        <w:t xml:space="preserve"> </w:t>
      </w:r>
      <w:r>
        <w:rPr>
          <w:b/>
          <w:bCs/>
        </w:rPr>
        <w:t xml:space="preserve">до </w:t>
      </w:r>
      <w:r>
        <w:rPr>
          <w:b/>
          <w:bCs/>
        </w:rPr>
        <w:t xml:space="preserve">15.11.2027</w:t>
      </w:r>
      <w:r>
        <w:t xml:space="preserve">,</w:t>
      </w:r>
      <w:r>
        <w:t xml:space="preserve"> а в части взаиморасчетов </w:t>
      </w:r>
      <w:r>
        <w:t xml:space="preserve">до полного исполнения Сторонами своих обязательств.</w:t>
      </w:r>
      <w:r/>
    </w:p>
    <w:p>
      <w:pPr>
        <w:jc w:val="both"/>
      </w:pPr>
      <w:r>
        <w:t xml:space="preserve">1</w:t>
      </w:r>
      <w:r>
        <w:t xml:space="preserve">0</w:t>
      </w:r>
      <w:r>
        <w:t xml:space="preserve">.2. Настоящий Договор составлен в форме электронного документа, подписанного обеими сторонами </w:t>
      </w:r>
      <w:r>
        <w:t xml:space="preserve">электронной цифровой подписью, уполномоченными на то лицами. Договор в электронной форме х</w:t>
      </w:r>
      <w:r>
        <w:t xml:space="preserve">ранится в базе данных ЭТП. В случае взаимного волеизъявления, Стороны обязаны обменяться, помимо Договора в электронной форме, Договором на бумажном носителе, при этом дополнительные документы, сопровождающие Договор, оформляются сторонами путем подписания</w:t>
      </w:r>
      <w:r>
        <w:t xml:space="preserve"> в течении 20 дней.</w:t>
      </w:r>
      <w:r/>
    </w:p>
    <w:p>
      <w:pPr>
        <w:jc w:val="both"/>
      </w:pPr>
      <w:r>
        <w:t xml:space="preserve">1</w:t>
      </w:r>
      <w:r>
        <w:t xml:space="preserve">0.3</w:t>
      </w:r>
      <w:r>
        <w:t xml:space="preserve">. Если любой из пунктов договора или его часть окажется недействительным вследствие какого-либо вступившего в силу государственного акта, он будет считаться отсутствующим в настоящем договоре, при этом остальные пункты останутся в силе. </w:t>
      </w:r>
      <w:r/>
    </w:p>
    <w:p>
      <w:pPr>
        <w:jc w:val="both"/>
      </w:pPr>
      <w:r>
        <w:t xml:space="preserve">1</w:t>
      </w:r>
      <w:r>
        <w:t xml:space="preserve">0.4</w:t>
      </w:r>
      <w:r>
        <w:t xml:space="preserve">. Любые изменения и дополнения к настоящему договору должны быть оформлены письменно и подписаны уполномоченными представителями С</w:t>
      </w:r>
      <w:r>
        <w:t xml:space="preserve">торон</w:t>
      </w:r>
      <w:r>
        <w:t xml:space="preserve">.</w:t>
      </w:r>
      <w:r/>
    </w:p>
    <w:p>
      <w:pPr>
        <w:jc w:val="both"/>
      </w:pPr>
      <w:r>
        <w:t xml:space="preserve">1</w:t>
      </w:r>
      <w:r>
        <w:t xml:space="preserve">0.5</w:t>
      </w:r>
      <w:r>
        <w:t xml:space="preserve">. Настоящий договор может быть изменен или расторгнут по соглашению С</w:t>
      </w:r>
      <w:r>
        <w:t xml:space="preserve">торон</w:t>
      </w:r>
      <w:r>
        <w:t xml:space="preserve">. </w:t>
      </w:r>
      <w:r/>
    </w:p>
    <w:p>
      <w:pPr>
        <w:jc w:val="both"/>
      </w:pPr>
      <w:r>
        <w:t xml:space="preserve">1</w:t>
      </w:r>
      <w:r>
        <w:t xml:space="preserve">0.6</w:t>
      </w:r>
      <w:r>
        <w:t xml:space="preserve">. При изменении или расторжении договора по соглашению С</w:t>
      </w:r>
      <w:r>
        <w:t xml:space="preserve">торон</w:t>
      </w:r>
      <w:r>
        <w:t xml:space="preserve">, договор считается измененным или расторгнутым с даты подписания соответствующего соглашения. При измене</w:t>
      </w:r>
      <w:r>
        <w:t xml:space="preserve">нии или расторжении договора в одностороннем порядке в случаях, предусмотренных настоящим договором либо действующим законодательством Российской Федерации, договор считается измененным или расторгнутым с даты, указанной в письменном уведомлении одной из С</w:t>
      </w:r>
      <w:r>
        <w:t xml:space="preserve">торон</w:t>
      </w:r>
      <w:r>
        <w:t xml:space="preserve"> о расторжении или изменении договора, направленном другой С</w:t>
      </w:r>
      <w:r>
        <w:t xml:space="preserve">тороне</w:t>
      </w:r>
      <w:r>
        <w:t xml:space="preserve">. </w:t>
      </w:r>
      <w:r/>
    </w:p>
    <w:p>
      <w:pPr>
        <w:jc w:val="both"/>
      </w:pPr>
      <w:r>
        <w:t xml:space="preserve">В случае расторжения Договора сторона обязана уведомить об этом другую сторону не позднее, чем за </w:t>
      </w:r>
      <w:r>
        <w:t xml:space="preserve">15 календарных дней</w:t>
      </w:r>
      <w:r>
        <w:t xml:space="preserve">. Сторона, получившая предложение об изменении или расторжении Договора, обязана дать ответ другой стороне в течение </w:t>
      </w:r>
      <w:r>
        <w:t xml:space="preserve">5</w:t>
      </w:r>
      <w:r>
        <w:t xml:space="preserve"> календарных дней с момента получения предложения. В случае недостижения соглашения об изменении или расторжении Договора споры между сторонами подлежат передаче на рассмотрение арбитражного суда.</w:t>
      </w:r>
      <w:r/>
    </w:p>
    <w:p>
      <w:pPr>
        <w:jc w:val="both"/>
      </w:pPr>
      <w:r>
        <w:t xml:space="preserve">1</w:t>
      </w:r>
      <w:r>
        <w:t xml:space="preserve">0.7</w:t>
      </w:r>
      <w:r>
        <w:t xml:space="preserve">. После подписания настоящего договора все предыдущие переговоры и переписка утрачивают силу.</w:t>
      </w:r>
      <w:r/>
    </w:p>
    <w:p>
      <w:pPr>
        <w:jc w:val="both"/>
      </w:pPr>
      <w:r>
        <w:t xml:space="preserve">1</w:t>
      </w:r>
      <w:r>
        <w:t xml:space="preserve">0.8</w:t>
      </w:r>
      <w:r>
        <w:t xml:space="preserve">. </w:t>
      </w:r>
      <w:r>
        <w:t xml:space="preserve">Стороны не имеют никаких сопутствующих устных договоренностей. Содержание текста Договора полностью соответствует действительному волеизъявлению Сторон.</w:t>
      </w:r>
      <w:r/>
    </w:p>
    <w:p>
      <w:pPr>
        <w:jc w:val="both"/>
      </w:pPr>
      <w:r>
        <w:t xml:space="preserve">1</w:t>
      </w:r>
      <w:r>
        <w:t xml:space="preserve">0.9</w:t>
      </w:r>
      <w:r>
        <w:t xml:space="preserve">. </w:t>
      </w:r>
      <w:r>
        <w:t xml:space="preserve">Все документы</w:t>
      </w:r>
      <w:r>
        <w:t xml:space="preserve"> (</w:t>
      </w:r>
      <w:r>
        <w:t xml:space="preserve">приложения</w:t>
      </w:r>
      <w:r>
        <w:t xml:space="preserve">, накладная, акт, сертификат и т.д.)</w:t>
      </w:r>
      <w:r>
        <w:t xml:space="preserve"> за исключением договора, подписанного обеими сторонами электронной цифрой подписью</w:t>
      </w:r>
      <w:r>
        <w:t xml:space="preserve">, переданные по электронной и факсимильной связи, имеют полную юридическую силу. </w:t>
      </w:r>
      <w:r/>
    </w:p>
    <w:p>
      <w:pPr>
        <w:jc w:val="both"/>
      </w:pPr>
      <w:r>
        <w:t xml:space="preserve">1</w:t>
      </w:r>
      <w:r>
        <w:t xml:space="preserve">0</w:t>
      </w:r>
      <w:r>
        <w:t xml:space="preserve">.</w:t>
      </w:r>
      <w:r>
        <w:t xml:space="preserve">10</w:t>
      </w:r>
      <w:r>
        <w:t xml:space="preserve">. Подписав настоящий договор, Поставщик тем самым вы</w:t>
      </w:r>
      <w:r>
        <w:t xml:space="preserve">ражает свое согласие на осуществление департаментом природных ресурсов и экологии Ямало-Ненецкого автономного округа и уполномоченными органами государственного финансового контроля проверок соблюдения условий, целей и порядка предоставления субсидий (гран</w:t>
      </w:r>
      <w:r>
        <w:t xml:space="preserve">тов в форме субсидий) НП «Центр освоения Арктики», в целях определенных в Порядке, утвержденном Постановлением Правительства Ямало-Ненецкого автономного округа от 17 апреля 2026 г. №193-П, за счет средств которых Покупатель исполнял обязательства по оплате</w:t>
      </w:r>
      <w:r>
        <w:t xml:space="preserve"> Товара</w:t>
      </w:r>
      <w:r>
        <w:t xml:space="preserve">, предусмотренные настоящим Договором, в том числе в части достижения результата предоставления субсидий (грантов в форме субсидий), а также проверок органами государственно</w:t>
      </w:r>
      <w:r>
        <w:t xml:space="preserve">го финансового контроля в соответствии со статьями 268.1 и 269.2 Бюджетного кодекса Российской Федерации, а также обязуется не приобретать за счет полученных средств, иностранной валюты, за исключением операций, осуществляемых в соответствии с валютным зак</w:t>
      </w:r>
      <w:r>
        <w:t xml:space="preserve">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</w:t>
      </w:r>
      <w:r>
        <w:t xml:space="preserve">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учреждениями, а также операций, связанных с закупкой у нерезидентов товаров, работ, услуг.</w:t>
      </w:r>
      <w:r/>
    </w:p>
    <w:p>
      <w:pPr>
        <w:jc w:val="both"/>
      </w:pPr>
      <w:r>
        <w:t xml:space="preserve">1</w:t>
      </w:r>
      <w:r>
        <w:t xml:space="preserve">0</w:t>
      </w:r>
      <w:r>
        <w:t xml:space="preserve">.</w:t>
      </w:r>
      <w:r>
        <w:t xml:space="preserve">1</w:t>
      </w:r>
      <w:r>
        <w:t xml:space="preserve">1</w:t>
      </w:r>
      <w:r>
        <w:t xml:space="preserve">. В случае изменения реквизитов С</w:t>
      </w:r>
      <w:r>
        <w:t xml:space="preserve">торона</w:t>
      </w:r>
      <w:r>
        <w:t xml:space="preserve"> обязана уведомить об изменениях другую С</w:t>
      </w:r>
      <w:r>
        <w:t xml:space="preserve">торону</w:t>
      </w:r>
      <w:r>
        <w:t xml:space="preserve"> в течение трех дней.</w:t>
      </w:r>
      <w:r/>
    </w:p>
    <w:p>
      <w:pPr>
        <w:jc w:val="both"/>
      </w:pPr>
      <w:r>
        <w:t xml:space="preserve">1</w:t>
      </w:r>
      <w:r>
        <w:t xml:space="preserve">0</w:t>
      </w:r>
      <w:r>
        <w:t xml:space="preserve">.</w:t>
      </w:r>
      <w:r>
        <w:t xml:space="preserve">1</w:t>
      </w:r>
      <w:r>
        <w:t xml:space="preserve">2</w:t>
      </w:r>
      <w:r>
        <w:t xml:space="preserve">.</w:t>
      </w:r>
      <w:r>
        <w:t xml:space="preserve"> </w:t>
      </w:r>
      <w:r>
        <w:t xml:space="preserve">Приложени</w:t>
      </w:r>
      <w:r>
        <w:t xml:space="preserve">е</w:t>
      </w:r>
      <w:r>
        <w:t xml:space="preserve"> к настоящему Договору:</w:t>
      </w:r>
      <w:r/>
    </w:p>
    <w:p>
      <w:pPr>
        <w:jc w:val="both"/>
      </w:pPr>
      <w:r>
        <w:t xml:space="preserve">- </w:t>
      </w:r>
      <w:r>
        <w:t xml:space="preserve">Спецификация </w:t>
      </w:r>
      <w:r>
        <w:t xml:space="preserve">(Приложение № 1).</w:t>
      </w:r>
      <w:r/>
    </w:p>
    <w:p>
      <w:r/>
      <w:r/>
    </w:p>
    <w:p>
      <w:pPr>
        <w:pStyle w:val="7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</w:t>
      </w:r>
      <w:r>
        <w:rPr>
          <w:rFonts w:ascii="Times New Roman" w:hAnsi="Times New Roman" w:cs="Times New Roman"/>
          <w:b/>
          <w:sz w:val="24"/>
          <w:szCs w:val="24"/>
        </w:rPr>
        <w:t xml:space="preserve">1.</w:t>
      </w:r>
      <w:r>
        <w:rPr>
          <w:rFonts w:ascii="Times New Roman" w:hAnsi="Times New Roman" w:cs="Times New Roman"/>
          <w:b/>
          <w:sz w:val="24"/>
          <w:szCs w:val="24"/>
        </w:rPr>
        <w:t xml:space="preserve"> Юридические адреса сторон, платежные реквизиты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7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5010"/>
      </w:tblGrid>
      <w:tr>
        <w:tblPrEx/>
        <w:trPr>
          <w:trHeight w:val="1953"/>
        </w:trPr>
        <w:tc>
          <w:tcPr>
            <w:tcW w:w="4844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ПОСТАВЩИК: </w:t>
            </w:r>
            <w:r>
              <w:rPr>
                <w:b/>
              </w:rPr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r/>
            <w:r/>
          </w:p>
          <w:p>
            <w:r>
              <w:t xml:space="preserve">____________________/ </w:t>
            </w:r>
            <w:r>
              <w:t xml:space="preserve">________________</w:t>
            </w:r>
            <w:r>
              <w:t xml:space="preserve"> /</w:t>
            </w:r>
            <w:r/>
          </w:p>
          <w:p>
            <w:r>
              <w:t xml:space="preserve">М</w:t>
            </w:r>
            <w:r>
              <w:t xml:space="preserve">.</w:t>
            </w:r>
            <w:r>
              <w:t xml:space="preserve">П</w:t>
            </w:r>
            <w:r>
              <w:t xml:space="preserve">.</w:t>
            </w:r>
            <w:r/>
          </w:p>
        </w:tc>
        <w:tc>
          <w:tcPr>
            <w:tcW w:w="501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ПОКУПАТЕЛЬ:</w:t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shd w:val="clear" w:color="auto" w:fill="ffffff"/>
                <w:lang w:eastAsia="zh-CN"/>
              </w:rPr>
            </w:pPr>
            <w:r>
              <w:rPr>
                <w:shd w:val="clear" w:color="auto" w:fill="ffffff"/>
                <w:lang w:eastAsia="zh-CN"/>
              </w:rPr>
            </w:r>
            <w:r>
              <w:rPr>
                <w:shd w:val="clear" w:color="auto" w:fill="ffffff"/>
                <w:lang w:eastAsia="zh-CN"/>
              </w:rPr>
            </w:r>
          </w:p>
          <w:p>
            <w:pPr>
              <w:rPr>
                <w:shd w:val="clear" w:color="auto" w:fill="ffffff"/>
                <w:lang w:eastAsia="zh-CN"/>
              </w:rPr>
            </w:pPr>
            <w:r>
              <w:rPr>
                <w:shd w:val="clear" w:color="auto" w:fill="ffffff"/>
                <w:lang w:eastAsia="zh-CN"/>
              </w:rPr>
            </w:r>
            <w:r>
              <w:rPr>
                <w:shd w:val="clear" w:color="auto" w:fill="ffffff"/>
                <w:lang w:eastAsia="zh-CN"/>
              </w:rPr>
            </w:r>
          </w:p>
          <w:p>
            <w:pPr>
              <w:rPr>
                <w:shd w:val="clear" w:color="auto" w:fill="ffffff"/>
                <w:lang w:eastAsia="zh-CN"/>
              </w:rPr>
            </w:pPr>
            <w:r>
              <w:rPr>
                <w:shd w:val="clear" w:color="auto" w:fill="ffffff"/>
                <w:lang w:eastAsia="zh-CN"/>
              </w:rPr>
              <w:t xml:space="preserve">__________________</w:t>
            </w:r>
            <w:r>
              <w:rPr>
                <w:shd w:val="clear" w:color="auto" w:fill="ffffff"/>
                <w:lang w:eastAsia="zh-CN"/>
              </w:rPr>
              <w:t xml:space="preserve">/</w:t>
            </w:r>
            <w:r>
              <w:rPr>
                <w:shd w:val="clear" w:color="auto" w:fill="ffffff"/>
                <w:lang w:eastAsia="zh-CN"/>
              </w:rPr>
              <w:t xml:space="preserve">___________________ </w:t>
            </w:r>
            <w:r>
              <w:rPr>
                <w:shd w:val="clear" w:color="auto" w:fill="ffffff"/>
                <w:lang w:eastAsia="zh-CN"/>
              </w:rPr>
              <w:t xml:space="preserve">/</w:t>
            </w:r>
            <w:r>
              <w:rPr>
                <w:shd w:val="clear" w:color="auto" w:fill="ffffff"/>
                <w:lang w:eastAsia="zh-CN"/>
              </w:rPr>
            </w:r>
          </w:p>
          <w:p>
            <w:r>
              <w:rPr>
                <w:shd w:val="clear" w:color="auto" w:fill="ffffff"/>
                <w:lang w:eastAsia="zh-CN"/>
              </w:rPr>
              <w:t xml:space="preserve">М</w:t>
            </w:r>
            <w:r>
              <w:rPr>
                <w:shd w:val="clear" w:color="auto" w:fill="ffffff"/>
                <w:lang w:eastAsia="zh-CN"/>
              </w:rPr>
              <w:t xml:space="preserve">.</w:t>
            </w:r>
            <w:r>
              <w:rPr>
                <w:shd w:val="clear" w:color="auto" w:fill="ffffff"/>
                <w:lang w:eastAsia="zh-CN"/>
              </w:rPr>
              <w:t xml:space="preserve">П</w:t>
            </w:r>
            <w:r>
              <w:rPr>
                <w:shd w:val="clear" w:color="auto" w:fill="ffffff"/>
                <w:lang w:eastAsia="zh-CN"/>
              </w:rPr>
              <w:t xml:space="preserve">.</w:t>
            </w:r>
            <w:r/>
          </w:p>
        </w:tc>
      </w:tr>
    </w:tbl>
    <w:p>
      <w:pPr>
        <w:pStyle w:val="755"/>
        <w:ind w:hanging="284"/>
        <w:spacing w:after="0"/>
      </w:pPr>
      <w:r/>
      <w:r/>
    </w:p>
    <w:p>
      <w:pPr>
        <w:pStyle w:val="755"/>
        <w:ind w:hanging="284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>
        <w:t xml:space="preserve">Приложение №1</w:t>
      </w:r>
      <w:r/>
    </w:p>
    <w:p>
      <w:pPr>
        <w:pStyle w:val="755"/>
        <w:ind w:left="6521"/>
        <w:jc w:val="both"/>
        <w:spacing w:after="0"/>
      </w:pPr>
      <w:r>
        <w:t xml:space="preserve">к договору поставки № </w:t>
      </w:r>
      <w:r>
        <w:t xml:space="preserve">-2.2/</w:t>
      </w:r>
      <w:r>
        <w:t xml:space="preserve">2026 </w:t>
      </w:r>
      <w:r>
        <w:t xml:space="preserve">от «</w:t>
      </w:r>
      <w:r>
        <w:t xml:space="preserve">___</w:t>
      </w:r>
      <w:r>
        <w:t xml:space="preserve">» </w:t>
      </w:r>
      <w:r>
        <w:t xml:space="preserve">_______</w:t>
      </w:r>
      <w:r>
        <w:t xml:space="preserve"> </w:t>
      </w:r>
      <w:r>
        <w:t xml:space="preserve">2026</w:t>
      </w:r>
      <w:r>
        <w:t xml:space="preserve"> </w:t>
      </w:r>
      <w:r>
        <w:t xml:space="preserve">г.</w:t>
      </w:r>
      <w:r/>
    </w:p>
    <w:p>
      <w:pPr>
        <w:pStyle w:val="755"/>
        <w:ind w:left="6521"/>
        <w:jc w:val="both"/>
        <w:spacing w:after="0"/>
      </w:pPr>
      <w:r/>
      <w:r/>
    </w:p>
    <w:p>
      <w:pPr>
        <w:pStyle w:val="755"/>
        <w:ind w:left="6521"/>
        <w:jc w:val="both"/>
        <w:spacing w:after="0"/>
      </w:pPr>
      <w:r>
        <w:t xml:space="preserve">Ф О Р М А</w:t>
      </w:r>
      <w:r/>
    </w:p>
    <w:p>
      <w:pPr>
        <w:pStyle w:val="755"/>
        <w:jc w:val="center"/>
        <w:spacing w:after="0"/>
      </w:pPr>
      <w:r/>
      <w:r/>
    </w:p>
    <w:p>
      <w:pPr>
        <w:pStyle w:val="755"/>
        <w:jc w:val="center"/>
        <w:spacing w:after="0"/>
      </w:pPr>
      <w:r>
        <w:t xml:space="preserve">Спецификация №</w:t>
      </w:r>
      <w:r>
        <w:t xml:space="preserve"> ___</w:t>
      </w:r>
      <w:r>
        <w:t xml:space="preserve"> от «</w:t>
      </w:r>
      <w:r>
        <w:t xml:space="preserve">____</w:t>
      </w:r>
      <w:r>
        <w:t xml:space="preserve">» </w:t>
      </w:r>
      <w:r>
        <w:t xml:space="preserve">______</w:t>
      </w:r>
      <w:r>
        <w:t xml:space="preserve"> </w:t>
      </w:r>
      <w:r>
        <w:t xml:space="preserve">2026 г.</w:t>
      </w:r>
      <w:r/>
    </w:p>
    <w:p>
      <w:pPr>
        <w:pStyle w:val="755"/>
        <w:jc w:val="center"/>
        <w:spacing w:after="0"/>
      </w:pPr>
      <w:r/>
      <w:r/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соответствии с условиями Договора Поставщик обязуется поставить (передать) Покупателю следующий Товар: </w:t>
      </w:r>
      <w:r>
        <w:rPr>
          <w:sz w:val="22"/>
          <w:szCs w:val="22"/>
        </w:rPr>
      </w:r>
    </w:p>
    <w:p>
      <w:pPr>
        <w:pStyle w:val="744"/>
        <w:ind w:firstLine="425"/>
        <w:jc w:val="both"/>
        <w:rPr>
          <w:b/>
          <w:bCs/>
          <w:sz w:val="24"/>
        </w:rPr>
      </w:pPr>
      <w:r>
        <w:rPr>
          <w:b/>
          <w:bCs/>
          <w:sz w:val="24"/>
        </w:rPr>
      </w:r>
      <w:r>
        <w:rPr>
          <w:b/>
          <w:bCs/>
          <w:sz w:val="24"/>
        </w:rPr>
      </w:r>
    </w:p>
    <w:tbl>
      <w:tblPr>
        <w:tblW w:w="10314" w:type="dxa"/>
        <w:tblInd w:w="-2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126"/>
        <w:gridCol w:w="1559"/>
        <w:gridCol w:w="1134"/>
        <w:gridCol w:w="1276"/>
        <w:gridCol w:w="1843"/>
        <w:gridCol w:w="1843"/>
      </w:tblGrid>
      <w:tr>
        <w:tblPrEx/>
        <w:trPr>
          <w:trHeight w:val="765"/>
        </w:trPr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п/п</w:t>
            </w:r>
            <w:r>
              <w:rPr>
                <w:b/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товара</w:t>
            </w:r>
            <w:r>
              <w:rPr>
                <w:b/>
                <w:bCs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Код по ОКПД2</w:t>
            </w:r>
            <w:r>
              <w:rPr>
                <w:b/>
                <w:bCs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Кол-во товара</w:t>
            </w:r>
            <w:r>
              <w:rPr>
                <w:b/>
                <w:bCs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Ед. измерения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Цена за ед. в руб.</w:t>
            </w:r>
            <w:r>
              <w:rPr>
                <w:b/>
                <w:bCs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Общая стоимость товар</w:t>
            </w:r>
            <w:r>
              <w:rPr>
                <w:b/>
                <w:bCs/>
              </w:rPr>
            </w:r>
          </w:p>
        </w:tc>
      </w:tr>
      <w:tr>
        <w:tblPrEx/>
        <w:trPr>
          <w:trHeight w:val="765"/>
        </w:trPr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79"/>
        </w:trPr>
        <w:tc>
          <w:tcPr>
            <w:gridSpan w:val="6"/>
            <w:tcW w:w="8471" w:type="dxa"/>
            <w:textDirection w:val="lrTb"/>
            <w:noWrap w:val="false"/>
          </w:tcPr>
          <w:p>
            <w:pPr>
              <w:jc w:val="right"/>
            </w:pPr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pPr>
        <w:pStyle w:val="744"/>
        <w:ind w:firstLine="567"/>
        <w:jc w:val="both"/>
        <w:rPr>
          <w:b/>
          <w:bCs/>
          <w:sz w:val="24"/>
        </w:rPr>
      </w:pP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744"/>
        <w:ind w:firstLine="567"/>
        <w:jc w:val="both"/>
        <w:rPr>
          <w:sz w:val="24"/>
        </w:rPr>
      </w:pPr>
      <w:r>
        <w:rPr>
          <w:b/>
          <w:bCs/>
          <w:sz w:val="24"/>
        </w:rPr>
        <w:t xml:space="preserve">Всего наименований </w:t>
      </w:r>
      <w:r>
        <w:rPr>
          <w:b/>
          <w:bCs/>
          <w:sz w:val="24"/>
        </w:rPr>
        <w:t xml:space="preserve">___</w:t>
      </w:r>
      <w:r>
        <w:rPr>
          <w:b/>
          <w:bCs/>
          <w:sz w:val="24"/>
        </w:rPr>
        <w:t xml:space="preserve"> на общую сумму </w:t>
      </w:r>
      <w:r>
        <w:rPr>
          <w:sz w:val="24"/>
        </w:rPr>
        <w:t xml:space="preserve">____________________</w:t>
      </w:r>
      <w:r>
        <w:rPr>
          <w:sz w:val="24"/>
        </w:rPr>
        <w:t xml:space="preserve"> рублей </w:t>
      </w:r>
      <w:r>
        <w:rPr>
          <w:sz w:val="24"/>
        </w:rPr>
        <w:t xml:space="preserve">________ </w:t>
      </w:r>
      <w:r>
        <w:rPr>
          <w:sz w:val="24"/>
        </w:rPr>
        <w:t xml:space="preserve">копеек, в том числе НДС </w:t>
      </w:r>
      <w:r>
        <w:rPr>
          <w:sz w:val="24"/>
        </w:rPr>
        <w:t xml:space="preserve">/ НДС не облагается.</w:t>
      </w:r>
      <w:r>
        <w:rPr>
          <w:sz w:val="24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2. </w:t>
      </w:r>
      <w:r>
        <w:rPr>
          <w:b/>
          <w:bCs/>
          <w:lang w:eastAsia="ru-RU"/>
        </w:rPr>
        <w:t xml:space="preserve">Срок поставки (доставки) Товара:</w:t>
      </w:r>
      <w:r>
        <w:rPr>
          <w:b/>
          <w:bCs/>
          <w:lang w:eastAsia="ru-RU"/>
        </w:rPr>
      </w:r>
    </w:p>
    <w:p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3. Место поставки Товара:</w:t>
      </w:r>
      <w:r>
        <w:rPr>
          <w:b/>
          <w:bCs/>
          <w:lang w:eastAsia="ru-RU"/>
        </w:rPr>
      </w:r>
    </w:p>
    <w:p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4. Порядок оплаты:</w:t>
      </w:r>
      <w:r>
        <w:rPr>
          <w:b/>
          <w:bCs/>
          <w:lang w:eastAsia="ru-RU"/>
        </w:rPr>
      </w:r>
    </w:p>
    <w:p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5</w:t>
      </w:r>
      <w:r>
        <w:rPr>
          <w:b/>
          <w:bCs/>
          <w:lang w:eastAsia="ru-RU"/>
        </w:rPr>
        <w:t xml:space="preserve">. Требования к качеству поставляемого Товара:</w:t>
      </w:r>
      <w:r>
        <w:rPr>
          <w:b/>
          <w:bCs/>
          <w:lang w:eastAsia="ru-RU"/>
        </w:rPr>
      </w:r>
    </w:p>
    <w:p>
      <w:pPr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6</w:t>
      </w:r>
      <w:r>
        <w:rPr>
          <w:b/>
          <w:bCs/>
          <w:lang w:eastAsia="ru-RU"/>
        </w:rPr>
        <w:t xml:space="preserve">. Представитель Покупателя, ответственный за приемку Товара:</w:t>
      </w:r>
      <w:r>
        <w:rPr>
          <w:b/>
          <w:bCs/>
          <w:lang w:eastAsia="ru-RU"/>
        </w:rPr>
      </w:r>
    </w:p>
    <w:p>
      <w:pPr>
        <w:jc w:val="both"/>
        <w:rPr>
          <w:lang w:eastAsia="ru-RU"/>
        </w:rPr>
      </w:pPr>
      <w:r>
        <w:rPr>
          <w:b/>
          <w:bCs/>
          <w:lang w:eastAsia="ru-RU"/>
        </w:rPr>
        <w:t xml:space="preserve">7</w:t>
      </w:r>
      <w:r>
        <w:rPr>
          <w:b/>
          <w:bCs/>
          <w:lang w:eastAsia="ru-RU"/>
        </w:rPr>
        <w:t xml:space="preserve">. Дополнительная информация:</w:t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pStyle w:val="755"/>
        <w:jc w:val="center"/>
        <w:spacing w:after="0"/>
        <w:rPr>
          <w:b/>
          <w:bCs/>
        </w:rPr>
      </w:pPr>
      <w:r>
        <w:rPr>
          <w:b/>
          <w:bCs/>
        </w:rPr>
        <w:t xml:space="preserve">Подписи сторон</w:t>
      </w:r>
      <w:r>
        <w:rPr>
          <w:b/>
          <w:bCs/>
        </w:rPr>
        <w:t xml:space="preserve">:</w:t>
      </w:r>
      <w:r>
        <w:rPr>
          <w:b/>
          <w:bCs/>
        </w:rPr>
      </w:r>
    </w:p>
    <w:tbl>
      <w:tblPr>
        <w:tblStyle w:val="760"/>
        <w:tblW w:w="0" w:type="auto"/>
        <w:tblLook w:val="04A0" w:firstRow="1" w:lastRow="0" w:firstColumn="1" w:lastColumn="0" w:noHBand="0" w:noVBand="1"/>
      </w:tblPr>
      <w:tblGrid>
        <w:gridCol w:w="4957"/>
        <w:gridCol w:w="4957"/>
      </w:tblGrid>
      <w:tr>
        <w:tblPrEx/>
        <w:trPr/>
        <w:tc>
          <w:tcPr>
            <w:tcW w:w="4957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ПОСТАВЩИК: </w:t>
            </w:r>
            <w:r>
              <w:rPr>
                <w:b/>
              </w:rPr>
            </w:r>
          </w:p>
          <w:p>
            <w:r/>
            <w:r/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____________</w:t>
            </w:r>
            <w:r>
              <w:rPr>
                <w:bCs/>
              </w:rPr>
              <w:t xml:space="preserve">___</w:t>
            </w:r>
            <w:r>
              <w:rPr>
                <w:bCs/>
              </w:rPr>
              <w:t xml:space="preserve">__/</w:t>
            </w:r>
            <w:r>
              <w:rPr>
                <w:bCs/>
              </w:rPr>
              <w:t xml:space="preserve"> ________________</w:t>
            </w:r>
            <w:r>
              <w:t xml:space="preserve"> /</w:t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                 МП</w:t>
            </w:r>
            <w:r>
              <w:rPr>
                <w:bCs/>
              </w:rPr>
            </w:r>
          </w:p>
          <w:p>
            <w:pPr>
              <w:pStyle w:val="755"/>
              <w:jc w:val="center"/>
              <w:spacing w:after="0"/>
            </w:pPr>
            <w:r/>
            <w:r/>
          </w:p>
        </w:tc>
        <w:tc>
          <w:tcPr>
            <w:tcW w:w="4957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ПОКУПАТЕЛЬ:</w:t>
            </w:r>
            <w:r>
              <w:rPr>
                <w:b/>
              </w:rPr>
            </w:r>
          </w:p>
          <w:p>
            <w:pPr>
              <w:pStyle w:val="755"/>
              <w:jc w:val="center"/>
              <w:spacing w:after="0"/>
            </w:pPr>
            <w:r/>
            <w:r/>
          </w:p>
          <w:p>
            <w:pPr>
              <w:pStyle w:val="755"/>
              <w:jc w:val="center"/>
              <w:spacing w:after="0"/>
            </w:pPr>
            <w:r/>
            <w:r/>
          </w:p>
          <w:p>
            <w:pPr>
              <w:pStyle w:val="755"/>
              <w:jc w:val="center"/>
              <w:spacing w:after="0"/>
            </w:pPr>
            <w:r/>
            <w:r/>
          </w:p>
          <w:p>
            <w:pPr>
              <w:pStyle w:val="755"/>
              <w:jc w:val="both"/>
              <w:spacing w:after="0"/>
            </w:pPr>
            <w:r>
              <w:t xml:space="preserve">_________________/</w:t>
            </w:r>
            <w:r>
              <w:rPr>
                <w:shd w:val="clear" w:color="auto" w:fill="ffffff"/>
                <w:lang w:eastAsia="zh-CN"/>
              </w:rPr>
              <w:t xml:space="preserve"> </w:t>
            </w:r>
            <w:r>
              <w:rPr>
                <w:shd w:val="clear" w:color="auto" w:fill="ffffff"/>
                <w:lang w:eastAsia="zh-CN"/>
              </w:rPr>
              <w:t xml:space="preserve">__________________</w:t>
            </w:r>
            <w:r>
              <w:t xml:space="preserve"> </w:t>
            </w:r>
            <w:r>
              <w:t xml:space="preserve">/</w:t>
            </w:r>
            <w:r/>
          </w:p>
          <w:p>
            <w:pPr>
              <w:pStyle w:val="755"/>
              <w:jc w:val="both"/>
              <w:spacing w:after="0"/>
            </w:pPr>
            <w:r>
              <w:t xml:space="preserve">                   МП</w:t>
            </w:r>
            <w:r/>
          </w:p>
        </w:tc>
      </w:tr>
    </w:tbl>
    <w:p>
      <w:pPr>
        <w:pStyle w:val="755"/>
        <w:spacing w:after="0"/>
      </w:pPr>
      <w:r/>
      <w:r/>
    </w:p>
    <w:sectPr>
      <w:footerReference w:type="default" r:id="rId9"/>
      <w:footerReference w:type="even" r:id="rId10"/>
      <w:footnotePr/>
      <w:endnotePr/>
      <w:type w:val="nextPage"/>
      <w:pgSz w:w="11909" w:h="16834" w:orient="portrait"/>
      <w:pgMar w:top="1134" w:right="851" w:bottom="851" w:left="1134" w:header="0" w:footer="73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Symbol">
    <w:panose1 w:val="05010000000000000000"/>
  </w:font>
  <w:font w:name="TimesNewRomanPSMT">
    <w:panose1 w:val="02020603050405020304"/>
  </w:font>
  <w:font w:name="MS Mincho">
    <w:panose1 w:val="02070609020205090404"/>
  </w:font>
  <w:font w:name="Tahoma">
    <w:panose1 w:val="020B0604030504040204"/>
  </w:font>
  <w:font w:name="Arial">
    <w:panose1 w:val="020B0604020202020204"/>
  </w:font>
  <w:font w:name="Arial Unicode MS">
    <w:panose1 w:val="020B0604020202020204"/>
  </w:font>
  <w:font w:name="Wingdings">
    <w:panose1 w:val="05010000000000000000"/>
  </w:font>
  <w:font w:name="Liberation Sans">
    <w:panose1 w:val="020B0604020202020204"/>
  </w:font>
  <w:font w:name="SimSun">
    <w:panose1 w:val="02000506000000020000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  <w:rPr>
        <w:rStyle w:val="751"/>
        <w:rFonts w:ascii="Times New Roman" w:hAnsi="Times New Roman" w:cs="Times New Roman"/>
      </w:rPr>
      <w:framePr w:wrap="around" w:vAnchor="text" w:hAnchor="margin" w:xAlign="right" w:y="1"/>
    </w:pPr>
    <w:r>
      <w:rPr>
        <w:rStyle w:val="751"/>
        <w:rFonts w:ascii="Times New Roman" w:hAnsi="Times New Roman" w:cs="Times New Roman"/>
      </w:rPr>
      <w:fldChar w:fldCharType="begin"/>
    </w:r>
    <w:r>
      <w:rPr>
        <w:rStyle w:val="751"/>
        <w:rFonts w:ascii="Times New Roman" w:hAnsi="Times New Roman" w:cs="Times New Roman"/>
      </w:rPr>
      <w:instrText xml:space="preserve">PAGE  </w:instrText>
    </w:r>
    <w:r>
      <w:rPr>
        <w:rStyle w:val="751"/>
        <w:rFonts w:ascii="Times New Roman" w:hAnsi="Times New Roman" w:cs="Times New Roman"/>
      </w:rPr>
      <w:fldChar w:fldCharType="separate"/>
    </w:r>
    <w:r>
      <w:rPr>
        <w:rStyle w:val="751"/>
        <w:rFonts w:ascii="Times New Roman" w:hAnsi="Times New Roman" w:cs="Times New Roman"/>
      </w:rPr>
      <w:t xml:space="preserve">3</w:t>
    </w:r>
    <w:r>
      <w:rPr>
        <w:rStyle w:val="751"/>
        <w:rFonts w:ascii="Times New Roman" w:hAnsi="Times New Roman" w:cs="Times New Roman"/>
      </w:rPr>
      <w:fldChar w:fldCharType="end"/>
    </w:r>
    <w:r>
      <w:rPr>
        <w:rStyle w:val="751"/>
        <w:rFonts w:ascii="Times New Roman" w:hAnsi="Times New Roman" w:cs="Times New Roman"/>
      </w:rPr>
    </w:r>
  </w:p>
  <w:p>
    <w:pPr>
      <w:pStyle w:val="757"/>
      <w:ind w:left="708" w:right="360"/>
      <w:rPr>
        <w:sz w:val="18"/>
        <w:szCs w:val="18"/>
      </w:rPr>
    </w:pPr>
    <w:r>
      <w:rPr>
        <w:sz w:val="18"/>
        <w:szCs w:val="18"/>
      </w:rPr>
      <w:t xml:space="preserve">                      </w:t>
    </w:r>
    <w:r>
      <w:rPr>
        <w:sz w:val="18"/>
        <w:szCs w:val="18"/>
      </w:rPr>
      <w:br/>
    </w:r>
    <w:r>
      <w:rPr>
        <w:sz w:val="18"/>
        <w:szCs w:val="18"/>
      </w:rPr>
      <w:t xml:space="preserve">ПОСТАВЩИК:   </w:t>
    </w:r>
    <w:r>
      <w:rPr>
        <w:sz w:val="18"/>
        <w:szCs w:val="18"/>
      </w:rPr>
      <w:t xml:space="preserve">                                                                              ПОКУПАТЕЛЬ:</w:t>
    </w:r>
    <w:r>
      <w:rPr>
        <w:sz w:val="18"/>
        <w:szCs w:val="18"/>
      </w:rPr>
    </w:r>
  </w:p>
  <w:p>
    <w:pPr>
      <w:pStyle w:val="757"/>
      <w:ind w:left="708" w:right="360"/>
      <w:rPr>
        <w:sz w:val="18"/>
        <w:szCs w:val="18"/>
      </w:rPr>
    </w:pPr>
    <w:r>
      <w:rPr>
        <w:sz w:val="18"/>
        <w:szCs w:val="18"/>
      </w:rPr>
    </w:r>
    <w:r>
      <w:rPr>
        <w:sz w:val="18"/>
        <w:szCs w:val="18"/>
      </w:rPr>
    </w:r>
  </w:p>
  <w:p>
    <w:pPr>
      <w:pStyle w:val="757"/>
      <w:rPr>
        <w:sz w:val="18"/>
        <w:szCs w:val="18"/>
      </w:rPr>
    </w:pPr>
    <w:r>
      <w:rPr>
        <w:sz w:val="18"/>
        <w:szCs w:val="18"/>
      </w:rPr>
      <w:t xml:space="preserve">           ___________________/</w:t>
    </w:r>
    <w:r>
      <w:rPr>
        <w:sz w:val="18"/>
        <w:szCs w:val="18"/>
      </w:rPr>
      <w:t xml:space="preserve">________________</w:t>
    </w:r>
    <w:r>
      <w:rPr>
        <w:sz w:val="18"/>
        <w:szCs w:val="18"/>
      </w:rPr>
      <w:t xml:space="preserve">/                                             ____________________/</w:t>
    </w:r>
    <w:r>
      <w:rPr>
        <w:sz w:val="18"/>
        <w:szCs w:val="18"/>
      </w:rPr>
      <w:t xml:space="preserve">_________________</w:t>
    </w:r>
    <w:r>
      <w:rPr>
        <w:sz w:val="18"/>
        <w:szCs w:val="18"/>
      </w:rPr>
      <w:t xml:space="preserve">/</w:t>
    </w:r>
    <w:r>
      <w:rPr>
        <w:sz w:val="18"/>
        <w:szCs w:val="18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  <w:rPr>
        <w:rStyle w:val="751"/>
      </w:rPr>
      <w:framePr w:wrap="around" w:vAnchor="text" w:hAnchor="margin" w:xAlign="right" w:y="1"/>
    </w:pPr>
    <w:r>
      <w:rPr>
        <w:rStyle w:val="751"/>
      </w:rPr>
      <w:fldChar w:fldCharType="begin"/>
    </w:r>
    <w:r>
      <w:rPr>
        <w:rStyle w:val="751"/>
      </w:rPr>
      <w:instrText xml:space="preserve">PAGE  </w:instrText>
    </w:r>
    <w:r>
      <w:rPr>
        <w:rStyle w:val="751"/>
      </w:rPr>
      <w:fldChar w:fldCharType="end"/>
    </w:r>
    <w:r>
      <w:rPr>
        <w:rStyle w:val="751"/>
      </w:rPr>
    </w:r>
  </w:p>
  <w:p>
    <w:pPr>
      <w:pStyle w:val="75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bCs/>
        <w:strike w:val="0"/>
        <w:color w:val="000000" w:themeColor="text1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bullet"/>
      <w:isLgl w:val="false"/>
      <w:suff w:val="tab"/>
      <w:lvlText w:val="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85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145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505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505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65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65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225" w:hanging="1800"/>
      </w:pPr>
      <w:rPr>
        <w:rFonts w:hint="default"/>
        <w:b/>
      </w:r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9"/>
  </w:num>
  <w:num w:numId="7">
    <w:abstractNumId w:val="14"/>
  </w:num>
  <w:num w:numId="8">
    <w:abstractNumId w:val="19"/>
  </w:num>
  <w:num w:numId="9">
    <w:abstractNumId w:val="17"/>
  </w:num>
  <w:num w:numId="10">
    <w:abstractNumId w:val="18"/>
  </w:num>
  <w:num w:numId="11">
    <w:abstractNumId w:val="10"/>
  </w:num>
  <w:num w:numId="12">
    <w:abstractNumId w:val="0"/>
  </w:num>
  <w:num w:numId="13">
    <w:abstractNumId w:val="12"/>
  </w:num>
  <w:num w:numId="14">
    <w:abstractNumId w:val="15"/>
  </w:num>
  <w:num w:numId="15">
    <w:abstractNumId w:val="13"/>
  </w:num>
  <w:num w:numId="16">
    <w:abstractNumId w:val="16"/>
  </w:num>
  <w:num w:numId="17">
    <w:abstractNumId w:val="2"/>
  </w:num>
  <w:num w:numId="18">
    <w:abstractNumId w:val="11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46"/>
    <w:link w:val="74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43"/>
    <w:next w:val="74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46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43"/>
    <w:next w:val="74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4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46"/>
    <w:link w:val="7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43"/>
    <w:next w:val="74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4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43"/>
    <w:next w:val="74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4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43"/>
    <w:next w:val="74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4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43"/>
    <w:next w:val="74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4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43"/>
    <w:next w:val="74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4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43"/>
    <w:next w:val="74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46"/>
    <w:link w:val="35"/>
    <w:uiPriority w:val="10"/>
    <w:rPr>
      <w:sz w:val="48"/>
      <w:szCs w:val="48"/>
    </w:rPr>
  </w:style>
  <w:style w:type="paragraph" w:styleId="37">
    <w:name w:val="Subtitle"/>
    <w:basedOn w:val="743"/>
    <w:next w:val="74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46"/>
    <w:link w:val="37"/>
    <w:uiPriority w:val="11"/>
    <w:rPr>
      <w:sz w:val="24"/>
      <w:szCs w:val="24"/>
    </w:rPr>
  </w:style>
  <w:style w:type="paragraph" w:styleId="39">
    <w:name w:val="Quote"/>
    <w:basedOn w:val="743"/>
    <w:next w:val="74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43"/>
    <w:next w:val="74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46"/>
    <w:link w:val="754"/>
    <w:uiPriority w:val="99"/>
  </w:style>
  <w:style w:type="character" w:styleId="46">
    <w:name w:val="Footer Char"/>
    <w:basedOn w:val="746"/>
    <w:link w:val="757"/>
    <w:uiPriority w:val="99"/>
  </w:style>
  <w:style w:type="paragraph" w:styleId="47">
    <w:name w:val="Caption"/>
    <w:basedOn w:val="743"/>
    <w:next w:val="74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4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4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46"/>
    <w:uiPriority w:val="99"/>
    <w:unhideWhenUsed/>
    <w:rPr>
      <w:vertAlign w:val="superscript"/>
    </w:rPr>
  </w:style>
  <w:style w:type="paragraph" w:styleId="179">
    <w:name w:val="endnote text"/>
    <w:basedOn w:val="74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46"/>
    <w:uiPriority w:val="99"/>
    <w:semiHidden/>
    <w:unhideWhenUsed/>
    <w:rPr>
      <w:vertAlign w:val="superscript"/>
    </w:rPr>
  </w:style>
  <w:style w:type="paragraph" w:styleId="182">
    <w:name w:val="toc 1"/>
    <w:basedOn w:val="743"/>
    <w:next w:val="74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43"/>
    <w:next w:val="74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43"/>
    <w:next w:val="74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43"/>
    <w:next w:val="74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43"/>
    <w:next w:val="74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43"/>
    <w:next w:val="74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43"/>
    <w:next w:val="74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43"/>
    <w:next w:val="74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43"/>
    <w:next w:val="74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43"/>
    <w:next w:val="743"/>
    <w:uiPriority w:val="99"/>
    <w:unhideWhenUsed/>
    <w:pPr>
      <w:spacing w:after="0" w:afterAutospacing="0"/>
    </w:pPr>
  </w:style>
  <w:style w:type="paragraph" w:styleId="743" w:default="1">
    <w:name w:val="Normal"/>
    <w:qFormat/>
    <w:rPr>
      <w:rFonts w:eastAsia="Times New Roman"/>
      <w:sz w:val="24"/>
      <w:szCs w:val="24"/>
      <w:lang w:eastAsia="en-US"/>
    </w:rPr>
  </w:style>
  <w:style w:type="paragraph" w:styleId="744">
    <w:name w:val="Heading 1"/>
    <w:basedOn w:val="743"/>
    <w:next w:val="743"/>
    <w:link w:val="768"/>
    <w:qFormat/>
    <w:pPr>
      <w:keepNext/>
      <w:outlineLvl w:val="0"/>
    </w:pPr>
    <w:rPr>
      <w:rFonts w:eastAsia="Arial Unicode MS"/>
      <w:sz w:val="32"/>
      <w:lang w:eastAsia="ru-RU"/>
    </w:rPr>
  </w:style>
  <w:style w:type="paragraph" w:styleId="745">
    <w:name w:val="Heading 4"/>
    <w:basedOn w:val="743"/>
    <w:next w:val="743"/>
    <w:link w:val="777"/>
    <w:semiHidden/>
    <w:unhideWhenUsed/>
    <w:qFormat/>
    <w:pPr>
      <w:keepLines/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  <w:lang w:eastAsia="ru-RU"/>
    </w:rPr>
  </w:style>
  <w:style w:type="character" w:styleId="746" w:default="1">
    <w:name w:val="Default Paragraph Font"/>
    <w:uiPriority w:val="1"/>
    <w:semiHidden/>
    <w:unhideWhenUsed/>
  </w:style>
  <w:style w:type="table" w:styleId="7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8" w:default="1">
    <w:name w:val="No List"/>
    <w:uiPriority w:val="99"/>
    <w:semiHidden/>
    <w:unhideWhenUsed/>
  </w:style>
  <w:style w:type="character" w:styleId="749">
    <w:name w:val="Emphasis"/>
    <w:qFormat/>
    <w:rPr>
      <w:i/>
      <w:iCs/>
    </w:rPr>
  </w:style>
  <w:style w:type="character" w:styleId="750">
    <w:name w:val="Hyperlink"/>
    <w:uiPriority w:val="99"/>
    <w:qFormat/>
    <w:rPr>
      <w:color w:val="0000ff"/>
      <w:u w:val="single"/>
    </w:rPr>
  </w:style>
  <w:style w:type="character" w:styleId="751">
    <w:name w:val="page number"/>
    <w:qFormat/>
    <w:rPr>
      <w:rFonts w:ascii="Arial" w:hAnsi="Arial" w:cs="Arial"/>
      <w:sz w:val="16"/>
      <w:szCs w:val="16"/>
    </w:rPr>
  </w:style>
  <w:style w:type="paragraph" w:styleId="752">
    <w:name w:val="Balloon Text"/>
    <w:basedOn w:val="743"/>
    <w:semiHidden/>
    <w:rPr>
      <w:rFonts w:ascii="Tahoma" w:hAnsi="Tahoma" w:cs="Tahoma"/>
      <w:sz w:val="16"/>
      <w:szCs w:val="16"/>
    </w:rPr>
  </w:style>
  <w:style w:type="paragraph" w:styleId="753">
    <w:name w:val="Body Text 2"/>
    <w:basedOn w:val="743"/>
    <w:qFormat/>
    <w:pPr>
      <w:jc w:val="both"/>
    </w:pPr>
    <w:rPr>
      <w:szCs w:val="20"/>
      <w:lang w:eastAsia="ru-RU"/>
    </w:rPr>
  </w:style>
  <w:style w:type="paragraph" w:styleId="754">
    <w:name w:val="Header"/>
    <w:basedOn w:val="743"/>
    <w:qFormat/>
    <w:pPr>
      <w:tabs>
        <w:tab w:val="center" w:pos="4677" w:leader="none"/>
        <w:tab w:val="right" w:pos="9355" w:leader="none"/>
      </w:tabs>
    </w:pPr>
    <w:rPr>
      <w:rFonts w:ascii="Arial" w:hAnsi="Arial" w:cs="Arial"/>
      <w:sz w:val="16"/>
      <w:szCs w:val="16"/>
    </w:rPr>
  </w:style>
  <w:style w:type="paragraph" w:styleId="755">
    <w:name w:val="Body Text"/>
    <w:basedOn w:val="743"/>
    <w:link w:val="769"/>
    <w:qFormat/>
    <w:pPr>
      <w:spacing w:after="120"/>
    </w:pPr>
  </w:style>
  <w:style w:type="paragraph" w:styleId="756">
    <w:name w:val="Body Text Indent"/>
    <w:basedOn w:val="743"/>
    <w:qFormat/>
    <w:pPr>
      <w:ind w:left="283"/>
      <w:spacing w:after="120"/>
    </w:pPr>
  </w:style>
  <w:style w:type="paragraph" w:styleId="757">
    <w:name w:val="Footer"/>
    <w:basedOn w:val="743"/>
    <w:qFormat/>
    <w:pPr>
      <w:tabs>
        <w:tab w:val="center" w:pos="4677" w:leader="none"/>
        <w:tab w:val="right" w:pos="9355" w:leader="none"/>
      </w:tabs>
    </w:pPr>
  </w:style>
  <w:style w:type="paragraph" w:styleId="758">
    <w:name w:val="Normal (Web)"/>
    <w:basedOn w:val="743"/>
    <w:qFormat/>
    <w:rPr>
      <w:lang w:eastAsia="ru-RU"/>
    </w:rPr>
  </w:style>
  <w:style w:type="paragraph" w:styleId="759">
    <w:name w:val="Body Text Indent 2"/>
    <w:basedOn w:val="743"/>
    <w:qFormat/>
    <w:pPr>
      <w:ind w:firstLine="720"/>
      <w:jc w:val="both"/>
    </w:pPr>
    <w:rPr>
      <w:szCs w:val="20"/>
      <w:lang w:eastAsia="ru-RU"/>
    </w:rPr>
  </w:style>
  <w:style w:type="table" w:styleId="760">
    <w:name w:val="Table Grid"/>
    <w:basedOn w:val="747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1" w:customStyle="1">
    <w:name w:val="d"/>
    <w:basedOn w:val="743"/>
    <w:link w:val="766"/>
    <w:qFormat/>
    <w:pPr>
      <w:ind w:firstLine="425"/>
      <w:jc w:val="both"/>
    </w:pPr>
    <w:rPr>
      <w:rFonts w:ascii="Arial" w:hAnsi="Arial" w:cs="Arial"/>
      <w:sz w:val="18"/>
      <w:szCs w:val="18"/>
      <w:lang w:eastAsia="ru-RU"/>
    </w:rPr>
  </w:style>
  <w:style w:type="paragraph" w:styleId="762" w:customStyle="1">
    <w:name w:val="D1"/>
    <w:basedOn w:val="761"/>
    <w:next w:val="761"/>
    <w:qFormat/>
    <w:pPr>
      <w:ind w:firstLine="0"/>
      <w:jc w:val="center"/>
    </w:pPr>
    <w:rPr>
      <w:b/>
      <w:bCs/>
      <w:caps/>
      <w:sz w:val="28"/>
      <w:szCs w:val="28"/>
    </w:rPr>
  </w:style>
  <w:style w:type="paragraph" w:styleId="763" w:customStyle="1">
    <w:name w:val="D8"/>
    <w:basedOn w:val="761"/>
    <w:next w:val="761"/>
    <w:qFormat/>
    <w:pPr>
      <w:ind w:firstLine="0"/>
      <w:jc w:val="center"/>
    </w:pPr>
    <w:rPr>
      <w:caps/>
    </w:rPr>
  </w:style>
  <w:style w:type="paragraph" w:styleId="764" w:customStyle="1">
    <w:name w:val="D9"/>
    <w:basedOn w:val="761"/>
    <w:next w:val="761"/>
    <w:qFormat/>
    <w:rPr>
      <w:b/>
      <w:bCs/>
    </w:rPr>
  </w:style>
  <w:style w:type="paragraph" w:styleId="765" w:customStyle="1">
    <w:name w:val="Common"/>
    <w:basedOn w:val="743"/>
    <w:pPr>
      <w:ind w:firstLine="425"/>
      <w:jc w:val="both"/>
    </w:pPr>
    <w:rPr>
      <w:lang w:eastAsia="ru-RU"/>
    </w:rPr>
  </w:style>
  <w:style w:type="character" w:styleId="766" w:customStyle="1">
    <w:name w:val="d Знак"/>
    <w:link w:val="761"/>
    <w:qFormat/>
    <w:rPr>
      <w:rFonts w:ascii="Arial" w:hAnsi="Arial" w:cs="Arial"/>
      <w:sz w:val="18"/>
      <w:szCs w:val="18"/>
      <w:lang w:val="ru-RU" w:eastAsia="ru-RU" w:bidi="ar-SA"/>
    </w:rPr>
  </w:style>
  <w:style w:type="paragraph" w:styleId="767" w:customStyle="1">
    <w:name w:val="Heading"/>
    <w:qFormat/>
    <w:rPr>
      <w:rFonts w:ascii="Arial" w:hAnsi="Arial" w:eastAsia="Times New Roman" w:cs="Arial"/>
      <w:b/>
      <w:bCs/>
      <w:sz w:val="22"/>
      <w:szCs w:val="22"/>
    </w:rPr>
  </w:style>
  <w:style w:type="character" w:styleId="768" w:customStyle="1">
    <w:name w:val="Заголовок 1 Знак"/>
    <w:link w:val="744"/>
    <w:rPr>
      <w:rFonts w:eastAsia="Arial Unicode MS"/>
      <w:sz w:val="32"/>
      <w:szCs w:val="24"/>
    </w:rPr>
  </w:style>
  <w:style w:type="character" w:styleId="769" w:customStyle="1">
    <w:name w:val="Основной текст Знак"/>
    <w:link w:val="755"/>
    <w:qFormat/>
    <w:rPr>
      <w:sz w:val="24"/>
      <w:szCs w:val="24"/>
      <w:lang w:eastAsia="en-US"/>
    </w:rPr>
  </w:style>
  <w:style w:type="character" w:styleId="770" w:customStyle="1">
    <w:name w:val="Body text (2)_"/>
    <w:link w:val="771"/>
    <w:qFormat/>
    <w:rPr>
      <w:shd w:val="clear" w:color="auto" w:fill="ffffff"/>
    </w:rPr>
  </w:style>
  <w:style w:type="paragraph" w:styleId="771" w:customStyle="1">
    <w:name w:val="Body text (2)"/>
    <w:basedOn w:val="743"/>
    <w:link w:val="770"/>
    <w:pPr>
      <w:jc w:val="both"/>
      <w:spacing w:before="300" w:after="300" w:line="0" w:lineRule="atLeast"/>
      <w:shd w:val="clear" w:color="auto" w:fill="ffffff"/>
      <w:widowControl w:val="off"/>
    </w:pPr>
    <w:rPr>
      <w:sz w:val="20"/>
      <w:szCs w:val="20"/>
      <w:lang w:eastAsia="ru-RU"/>
    </w:rPr>
  </w:style>
  <w:style w:type="character" w:styleId="772" w:customStyle="1">
    <w:name w:val="Body text (2) Exact"/>
    <w:rPr>
      <w:rFonts w:ascii="Times New Roman" w:hAnsi="Times New Roman" w:eastAsia="Times New Roman" w:cs="Times New Roman"/>
      <w:u w:val="none"/>
    </w:rPr>
  </w:style>
  <w:style w:type="character" w:styleId="773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styleId="774" w:customStyle="1">
    <w:name w:val="fontstyle01"/>
    <w:rPr>
      <w:rFonts w:hint="default" w:ascii="TimesNewRomanPSMT" w:hAnsi="TimesNewRomanPSMT"/>
      <w:color w:val="000000"/>
      <w:sz w:val="24"/>
      <w:szCs w:val="24"/>
    </w:rPr>
  </w:style>
  <w:style w:type="character" w:styleId="775" w:customStyle="1">
    <w:name w:val="Неразрешенное упоминание2"/>
    <w:basedOn w:val="746"/>
    <w:uiPriority w:val="99"/>
    <w:semiHidden/>
    <w:unhideWhenUsed/>
    <w:rPr>
      <w:color w:val="605e5c"/>
      <w:shd w:val="clear" w:color="auto" w:fill="e1dfdd"/>
    </w:rPr>
  </w:style>
  <w:style w:type="paragraph" w:styleId="776">
    <w:name w:val="List Paragraph"/>
    <w:basedOn w:val="743"/>
    <w:link w:val="783"/>
    <w:uiPriority w:val="34"/>
    <w:qFormat/>
    <w:pPr>
      <w:contextualSpacing/>
      <w:ind w:left="720"/>
    </w:pPr>
    <w:rPr>
      <w:lang w:eastAsia="ru-RU"/>
    </w:rPr>
  </w:style>
  <w:style w:type="character" w:styleId="777" w:customStyle="1">
    <w:name w:val="Заголовок 4 Знак"/>
    <w:basedOn w:val="746"/>
    <w:link w:val="745"/>
    <w:semiHidden/>
    <w:rPr>
      <w:rFonts w:asciiTheme="majorHAnsi" w:hAnsiTheme="majorHAnsi" w:eastAsiaTheme="majorEastAsia" w:cstheme="majorBidi"/>
      <w:i/>
      <w:iCs/>
      <w:color w:val="365f91" w:themeColor="accent1" w:themeShade="BF"/>
      <w:sz w:val="24"/>
      <w:szCs w:val="24"/>
    </w:rPr>
  </w:style>
  <w:style w:type="character" w:styleId="778">
    <w:name w:val="annotation reference"/>
    <w:basedOn w:val="746"/>
    <w:semiHidden/>
    <w:unhideWhenUsed/>
    <w:rPr>
      <w:sz w:val="16"/>
      <w:szCs w:val="16"/>
    </w:rPr>
  </w:style>
  <w:style w:type="paragraph" w:styleId="779">
    <w:name w:val="annotation text"/>
    <w:basedOn w:val="743"/>
    <w:link w:val="780"/>
    <w:semiHidden/>
    <w:unhideWhenUsed/>
    <w:rPr>
      <w:sz w:val="20"/>
      <w:szCs w:val="20"/>
    </w:rPr>
  </w:style>
  <w:style w:type="character" w:styleId="780" w:customStyle="1">
    <w:name w:val="Текст примечания Знак"/>
    <w:basedOn w:val="746"/>
    <w:link w:val="779"/>
    <w:semiHidden/>
    <w:rPr>
      <w:rFonts w:eastAsia="Times New Roman"/>
      <w:lang w:eastAsia="en-US"/>
    </w:rPr>
  </w:style>
  <w:style w:type="paragraph" w:styleId="781">
    <w:name w:val="annotation subject"/>
    <w:basedOn w:val="779"/>
    <w:next w:val="779"/>
    <w:link w:val="782"/>
    <w:semiHidden/>
    <w:unhideWhenUsed/>
    <w:rPr>
      <w:b/>
      <w:bCs/>
    </w:rPr>
  </w:style>
  <w:style w:type="character" w:styleId="782" w:customStyle="1">
    <w:name w:val="Тема примечания Знак"/>
    <w:basedOn w:val="780"/>
    <w:link w:val="781"/>
    <w:semiHidden/>
    <w:rPr>
      <w:rFonts w:eastAsia="Times New Roman"/>
      <w:b/>
      <w:bCs/>
      <w:lang w:eastAsia="en-US"/>
    </w:rPr>
  </w:style>
  <w:style w:type="character" w:styleId="783" w:customStyle="1">
    <w:name w:val="Абзац списка Знак"/>
    <w:link w:val="776"/>
    <w:uiPriority w:val="34"/>
    <w:qFormat/>
    <w:rPr>
      <w:rFonts w:eastAsia="Times New Roman"/>
      <w:sz w:val="24"/>
      <w:szCs w:val="24"/>
    </w:rPr>
  </w:style>
  <w:style w:type="paragraph" w:styleId="784" w:customStyle="1">
    <w:name w:val="ConsTitle"/>
    <w:pPr>
      <w:ind w:right="19772"/>
      <w:widowControl w:val="off"/>
    </w:pPr>
    <w:rPr>
      <w:rFonts w:ascii="Arial" w:hAnsi="Arial" w:eastAsia="MS Mincho" w:cs="Arial"/>
      <w:b/>
      <w:bCs/>
      <w:sz w:val="16"/>
      <w:szCs w:val="16"/>
      <w:lang w:eastAsia="ja-JP"/>
    </w:rPr>
  </w:style>
  <w:style w:type="paragraph" w:styleId="785" w:customStyle="1">
    <w:name w:val="ConsNormal"/>
    <w:pPr>
      <w:ind w:right="19772" w:firstLine="720"/>
      <w:widowControl w:val="off"/>
    </w:pPr>
    <w:rPr>
      <w:rFonts w:ascii="Arial" w:hAnsi="Arial" w:eastAsia="MS Mincho" w:cs="Arial"/>
      <w:lang w:eastAsia="ja-JP"/>
    </w:rPr>
  </w:style>
  <w:style w:type="paragraph" w:styleId="786" w:customStyle="1">
    <w:name w:val="ConsPlusNormal"/>
    <w:pPr>
      <w:ind w:firstLine="720"/>
      <w:widowControl w:val="off"/>
    </w:pPr>
    <w:rPr>
      <w:rFonts w:ascii="Arial" w:hAnsi="Arial" w:eastAsia="Times New Roman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C9B6FB911E507E7DCC3E8A23CCDB0A3716ACE8046A86ABAB147F22F1A344F057FE10E9FF46940FB428F938D3D9BC690F1D3F8427C7F519l3oDK" TargetMode="External"/><Relationship Id="rId13" Type="http://schemas.openxmlformats.org/officeDocument/2006/relationships/hyperlink" Target="http://xn--d1acfdrboy8h.xn--p1ai/dizelnoe_toplivo/reglamenty.php?idArticle=04" TargetMode="External"/><Relationship Id="rId14" Type="http://schemas.openxmlformats.org/officeDocument/2006/relationships/hyperlink" Target="http://xn--d1acfdrboy8h.xn--p1ai/dizelnoe_toplivo/reglamenty.php?idArticle=08" TargetMode="External"/><Relationship Id="rId15" Type="http://schemas.openxmlformats.org/officeDocument/2006/relationships/hyperlink" Target="http://xn--d1acfdrboy8h.xn--p1ai/dizelnoe_toplivo/reglamenty.php?idArticle=0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433E-4FC5-445D-862F-EA90E0EE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creator>krauhin</dc:creator>
  <cp:lastModifiedBy>PIVOVAROVA</cp:lastModifiedBy>
  <cp:revision>26</cp:revision>
  <dcterms:created xsi:type="dcterms:W3CDTF">2026-09-24T11:14:00Z</dcterms:created>
  <dcterms:modified xsi:type="dcterms:W3CDTF">2026-10-23T07:00:09Z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eyJoZGlkIjoiOTg4ZjI4MzBjOTliODhiMTk4YTZlOWE1ZWUxMWMzMjEiLCJ1c2VySWQiOiI1MTAwOTQ3NTkifQ==</vt:lpwstr>
  </property>
  <property fmtid="{D5CDD505-2E9C-101B-9397-08002B2CF9AE}" pid="3" name="KSOProductBuildVer">
    <vt:lpwstr>1049-12.1.0.25862</vt:lpwstr>
  </property>
  <property fmtid="{D5CDD505-2E9C-101B-9397-08002B2CF9AE}" pid="4" name="ICV">
    <vt:lpwstr>3B160D06F06345F693383EDA7954C2CF_12</vt:lpwstr>
  </property>
</Properties>
</file>