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endnotes.xml" ContentType="application/vnd.openxmlformats-officedocument.wordprocessingml.end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</w:r>
    </w:p>
    <w:p>
      <w:pPr>
        <w:ind w:left="5102"/>
        <w:spacing w:after="0" w:line="240" w:lineRule="auto"/>
        <w:widowControl w:val="off"/>
        <w:rPr>
          <w:rFonts w:ascii="Times New Roman" w:hAnsi="Times New Roman" w:eastAsia="Times New Roman"/>
          <w:b/>
          <w:bCs/>
          <w:color w:val="000000" w:themeColor="text1"/>
        </w:rPr>
      </w:pPr>
      <w:r/>
      <w:bookmarkStart w:id="0" w:name="_Hlk188448905"/>
      <w:r>
        <w:rPr>
          <w:rFonts w:ascii="Times New Roman" w:hAnsi="Times New Roman" w:eastAsia="Times New Roman"/>
          <w:b/>
          <w:bCs/>
          <w:color w:val="000000" w:themeColor="text1"/>
          <w:lang w:eastAsia="ru-RU"/>
        </w:rPr>
        <w:t xml:space="preserve">УТВЕРЖДАЮ</w:t>
      </w:r>
      <w:r>
        <w:rPr>
          <w:rFonts w:ascii="Times New Roman" w:hAnsi="Times New Roman" w:eastAsia="Times New Roman"/>
          <w:b/>
          <w:bCs/>
          <w:color w:val="000000" w:themeColor="text1"/>
        </w:rPr>
      </w:r>
    </w:p>
    <w:p>
      <w:pPr>
        <w:ind w:left="5102"/>
        <w:spacing w:after="0" w:line="240" w:lineRule="auto"/>
        <w:widowControl w:val="off"/>
        <w:rPr>
          <w:rFonts w:ascii="Times New Roman" w:hAnsi="Times New Roman" w:eastAsia="Times New Roman"/>
          <w:b/>
          <w:bCs/>
          <w:color w:val="000000" w:themeColor="text1"/>
        </w:rPr>
      </w:pPr>
      <w:r>
        <w:rPr>
          <w:rFonts w:ascii="Times New Roman" w:hAnsi="Times New Roman" w:eastAsia="Times New Roman"/>
          <w:b/>
          <w:bCs/>
          <w:color w:val="000000" w:themeColor="text1"/>
          <w:lang w:eastAsia="ru-RU"/>
        </w:rPr>
        <w:t xml:space="preserve">Директор</w:t>
      </w:r>
      <w:r>
        <w:rPr>
          <w:rFonts w:ascii="Times New Roman" w:hAnsi="Times New Roman" w:eastAsia="Times New Roman"/>
          <w:b/>
          <w:bCs/>
          <w:color w:val="000000" w:themeColor="text1"/>
        </w:rPr>
      </w:r>
    </w:p>
    <w:p>
      <w:pPr>
        <w:ind w:left="5102"/>
        <w:spacing w:after="0" w:line="240" w:lineRule="auto"/>
        <w:widowControl w:val="off"/>
        <w:rPr>
          <w:rFonts w:ascii="Times New Roman" w:hAnsi="Times New Roman" w:eastAsia="Times New Roman"/>
          <w:b/>
          <w:bCs/>
          <w:color w:val="000000" w:themeColor="text1"/>
        </w:rPr>
      </w:pPr>
      <w:r>
        <w:rPr>
          <w:rFonts w:ascii="Times New Roman" w:hAnsi="Times New Roman" w:eastAsia="Times New Roman"/>
          <w:b/>
          <w:bCs/>
          <w:color w:val="000000" w:themeColor="text1"/>
          <w:lang w:eastAsia="ru-RU"/>
        </w:rPr>
        <w:t xml:space="preserve">НП "Центр Освоения Арктики"</w:t>
      </w:r>
      <w:r>
        <w:rPr>
          <w:rFonts w:ascii="Times New Roman" w:hAnsi="Times New Roman" w:eastAsia="Times New Roman"/>
          <w:b/>
          <w:bCs/>
          <w:color w:val="000000" w:themeColor="text1"/>
        </w:rPr>
      </w:r>
    </w:p>
    <w:p>
      <w:pPr>
        <w:ind w:left="5102"/>
        <w:spacing w:after="0" w:line="240" w:lineRule="auto"/>
        <w:widowControl w:val="off"/>
        <w:rPr>
          <w:rFonts w:ascii="Times New Roman" w:hAnsi="Times New Roman" w:eastAsia="Times New Roman"/>
          <w:b/>
          <w:bCs/>
          <w:color w:val="000000" w:themeColor="text1"/>
        </w:rPr>
      </w:pPr>
      <w:r>
        <w:rPr>
          <w:rFonts w:ascii="Times New Roman" w:hAnsi="Times New Roman" w:eastAsia="Times New Roman"/>
          <w:b/>
          <w:bCs/>
          <w:color w:val="000000" w:themeColor="text1"/>
          <w:lang w:eastAsia="ru-RU"/>
        </w:rPr>
        <w:tab/>
      </w:r>
      <w:r>
        <w:rPr>
          <w:rFonts w:ascii="Times New Roman" w:hAnsi="Times New Roman" w:eastAsia="Times New Roman"/>
          <w:b/>
          <w:bCs/>
          <w:color w:val="000000" w:themeColor="text1"/>
          <w:lang w:eastAsia="ru-RU"/>
        </w:rPr>
        <w:tab/>
        <w:t xml:space="preserve">_________А.Н. Умников</w:t>
      </w:r>
      <w:r>
        <w:rPr>
          <w:rFonts w:ascii="Times New Roman" w:hAnsi="Times New Roman" w:eastAsia="Times New Roman"/>
          <w:b/>
          <w:bCs/>
          <w:color w:val="000000" w:themeColor="text1"/>
        </w:rPr>
      </w:r>
    </w:p>
    <w:p>
      <w:pPr>
        <w:ind w:left="5102"/>
        <w:spacing w:after="0" w:line="240" w:lineRule="auto"/>
        <w:widowControl w:val="off"/>
        <w:rPr>
          <w:rFonts w:ascii="Times New Roman" w:hAnsi="Times New Roman" w:eastAsia="Times New Roman"/>
          <w:b/>
          <w:bCs/>
          <w:color w:val="000000" w:themeColor="text1"/>
        </w:rPr>
      </w:pPr>
      <w:r/>
      <w:sdt>
        <w:sdtPr>
          <w15:appearance w15:val="boundingBox"/>
          <w:id w:val="-1368987401"/>
          <w:placeholder>
            <w:docPart w:val="94B5EDC866034A3DB7025DC96A76A49E"/>
          </w:placeholder>
          <w:date w:fullDate="2026-10-23T00:00:00Z">
            <w:calendar w:val="gregorian"/>
            <w:dateFormat w:val="dd.MM.yyyyг."/>
            <w:lid w:val="ru-RU"/>
          </w:date>
          <w:rPr>
            <w:rFonts w:ascii="Times New Roman" w:hAnsi="Times New Roman" w:eastAsia="Times New Roman"/>
            <w:b/>
            <w:bCs/>
            <w:color w:val="000000" w:themeColor="text1"/>
            <w:lang w:eastAsia="ru-RU"/>
          </w:rPr>
        </w:sdtPr>
        <w:sdtContent>
          <w:r>
            <w:rPr>
              <w:rFonts w:ascii="Times New Roman" w:hAnsi="Times New Roman" w:eastAsia="Times New Roman"/>
              <w:b/>
              <w:bCs/>
              <w:color w:val="000000" w:themeColor="text1"/>
              <w:lang w:eastAsia="ru-RU"/>
            </w:rPr>
            <w:t xml:space="preserve">23.10.2026г.</w:t>
          </w:r>
        </w:sdtContent>
      </w:sdt>
      <w:r/>
      <w:bookmarkEnd w:id="0"/>
      <w:r/>
      <w:r>
        <w:rPr>
          <w:rFonts w:ascii="Times New Roman" w:hAnsi="Times New Roman" w:eastAsia="Times New Roman"/>
          <w:b/>
          <w:bCs/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  </w:t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Документация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о проведении аукциона в электронной </w:t>
      </w:r>
      <w:bookmarkStart w:id="1" w:name="_Hlk127711247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форме </w:t>
      </w:r>
      <w:bookmarkStart w:id="2" w:name="_Hlk188448923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на</w:t>
      </w:r>
      <w:bookmarkEnd w:id="1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право заключения договора </w:t>
      </w:r>
      <w:bookmarkEnd w:id="2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на поставку дизельного топлива</w:t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ind w:right="124" w:firstLine="360"/>
        <w:jc w:val="center"/>
        <w:spacing w:after="0" w:line="240" w:lineRule="auto"/>
        <w:shd w:val="clear" w:color="auto" w:fill="ffffff"/>
        <w:widowControl w:val="off"/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/>
          <w:bCs/>
          <w:color w:val="000000" w:themeColor="text1"/>
        </w:rPr>
        <w:t xml:space="preserve">2026г.</w:t>
      </w:r>
      <w:r>
        <w:rPr>
          <w:rFonts w:ascii="Times New Roman" w:hAnsi="Times New Roman"/>
          <w:bCs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/>
          <w:bCs/>
          <w:color w:val="000000" w:themeColor="text1"/>
        </w:rPr>
        <w:br w:type="page" w:clear="all"/>
      </w:r>
      <w:r>
        <w:rPr>
          <w:rFonts w:ascii="Times New Roman" w:hAnsi="Times New Roman"/>
          <w:bCs/>
          <w:color w:val="000000" w:themeColor="text1"/>
        </w:rPr>
      </w:r>
    </w:p>
    <w:p>
      <w:pPr>
        <w:ind w:right="124" w:firstLine="360"/>
        <w:jc w:val="center"/>
        <w:spacing w:after="0" w:line="240" w:lineRule="auto"/>
        <w:shd w:val="clear" w:color="auto" w:fill="ffffff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СОДЕРЖАНИЕ</w:t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ind w:right="124" w:firstLine="360"/>
        <w:jc w:val="center"/>
        <w:spacing w:after="0" w:line="240" w:lineRule="auto"/>
        <w:shd w:val="clear" w:color="auto" w:fill="ffffff"/>
        <w:widowControl w:val="off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</w:r>
      <w:r>
        <w:rPr>
          <w:rFonts w:ascii="Times New Roman" w:hAnsi="Times New Roman"/>
          <w:color w:val="000000" w:themeColor="text1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754"/>
        <w:gridCol w:w="816"/>
      </w:tblGrid>
      <w:tr>
        <w:tblPrEx/>
        <w:trPr/>
        <w:tc>
          <w:tcPr>
            <w:tcW w:w="8754" w:type="dxa"/>
            <w:textDirection w:val="lrTb"/>
            <w:noWrap w:val="false"/>
          </w:tcPr>
          <w:p>
            <w:pPr>
              <w:ind w:right="124"/>
              <w:jc w:val="both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 xml:space="preserve">I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. ИНФОРМАЦИОННАЯ КАРТА ДОКУМЕНТАЦИИ О ПРОВЕДЕНИИ АУКЦИОНА В ЭЛЕКТРОННОЙ ФОРМЕ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  <w:p>
            <w:pPr>
              <w:ind w:right="124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816" w:type="dxa"/>
            <w:textDirection w:val="lrTb"/>
            <w:noWrap w:val="false"/>
          </w:tcPr>
          <w:p>
            <w:pPr>
              <w:ind w:right="124"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</w:tc>
      </w:tr>
      <w:tr>
        <w:tblPrEx/>
        <w:trPr/>
        <w:tc>
          <w:tcPr>
            <w:tcW w:w="8754" w:type="dxa"/>
            <w:textDirection w:val="lrTb"/>
            <w:noWrap w:val="false"/>
          </w:tcPr>
          <w:p>
            <w:pPr>
              <w:ind w:right="124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 xml:space="preserve">II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. ИНСТРУКЦИЯ ПО ЗАПОЛНЕНИЮ ЗАЯВКИ НА УЧАСТИЕ В АУКЦИОНЕ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  <w:p>
            <w:pPr>
              <w:ind w:right="124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816" w:type="dxa"/>
            <w:textDirection w:val="lrTb"/>
            <w:noWrap w:val="false"/>
          </w:tcPr>
          <w:p>
            <w:pPr>
              <w:ind w:right="124"/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8754" w:type="dxa"/>
            <w:textDirection w:val="lrTb"/>
            <w:noWrap w:val="false"/>
          </w:tcPr>
          <w:p>
            <w:pPr>
              <w:ind w:right="124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 xml:space="preserve">III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. ПРОЕКТ ДОГОВОРА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  <w:p>
            <w:pPr>
              <w:ind w:right="124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</w:tc>
        <w:tc>
          <w:tcPr>
            <w:tcW w:w="816" w:type="dxa"/>
            <w:textDirection w:val="lrTb"/>
            <w:noWrap w:val="false"/>
          </w:tcPr>
          <w:p>
            <w:pPr>
              <w:ind w:right="124"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</w:tc>
      </w:tr>
      <w:tr>
        <w:tblPrEx/>
        <w:trPr/>
        <w:tc>
          <w:tcPr>
            <w:tcW w:w="8754" w:type="dxa"/>
            <w:textDirection w:val="lrTb"/>
            <w:noWrap w:val="false"/>
          </w:tcPr>
          <w:p>
            <w:pPr>
              <w:ind w:right="124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 xml:space="preserve">IV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. ТЕХНИЧЕСКОЕ ЗАДАНИЕ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  <w:p>
            <w:pPr>
              <w:ind w:right="124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</w:tc>
        <w:tc>
          <w:tcPr>
            <w:tcW w:w="816" w:type="dxa"/>
            <w:textDirection w:val="lrTb"/>
            <w:noWrap w:val="false"/>
          </w:tcPr>
          <w:p>
            <w:pPr>
              <w:ind w:right="124"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</w:tc>
      </w:tr>
      <w:tr>
        <w:tblPrEx/>
        <w:trPr/>
        <w:tc>
          <w:tcPr>
            <w:tcW w:w="8754" w:type="dxa"/>
            <w:textDirection w:val="lrTb"/>
            <w:noWrap w:val="false"/>
          </w:tcPr>
          <w:p>
            <w:pPr>
              <w:ind w:right="124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 xml:space="preserve">V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. ОБОСНОВАНИЕ НАЧАЛЬНОЙ (МАКСИМАЛЬНОЙ) ЦЕНЫ ДОГОВОРА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  <w:p>
            <w:pPr>
              <w:ind w:right="124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  <w:p>
            <w:pPr>
              <w:ind w:right="124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  <w:t xml:space="preserve">VI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.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ФОРМЫ ДОКУМЕНТОВ В СОСТАВЕ ЗАЯВКИ НА УЧАСТИЕ В АУКЦИОНЕ В ЭЛЕКТРОННОЙ ФОРМЕ (РЕКОМЕНДУЕМЫЕ)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</w:tc>
        <w:tc>
          <w:tcPr>
            <w:tcW w:w="816" w:type="dxa"/>
            <w:textDirection w:val="lrTb"/>
            <w:noWrap w:val="false"/>
          </w:tcPr>
          <w:p>
            <w:pPr>
              <w:ind w:right="124"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</w:r>
          </w:p>
        </w:tc>
      </w:tr>
    </w:tbl>
    <w:p>
      <w:pPr>
        <w:jc w:val="center"/>
        <w:spacing w:after="0" w:line="240" w:lineRule="auto"/>
        <w:widowControl w:val="off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br w:type="page" w:clear="all"/>
      </w:r>
      <w:r>
        <w:rPr>
          <w:rFonts w:ascii="Times New Roman" w:hAnsi="Times New Roman"/>
          <w:b/>
          <w:color w:val="000000" w:themeColor="text1"/>
        </w:rPr>
        <w:t xml:space="preserve">РАЗДЕЛ </w:t>
      </w:r>
      <w:r>
        <w:rPr>
          <w:rFonts w:ascii="Times New Roman" w:hAnsi="Times New Roman"/>
          <w:b/>
          <w:color w:val="000000" w:themeColor="text1"/>
          <w:lang w:val="en-US"/>
        </w:rPr>
        <w:t xml:space="preserve">l</w:t>
      </w:r>
      <w:r>
        <w:rPr>
          <w:rFonts w:ascii="Times New Roman" w:hAnsi="Times New Roman"/>
          <w:b/>
          <w:color w:val="000000" w:themeColor="text1"/>
        </w:rPr>
        <w:t xml:space="preserve">: ИНФОРМАЦИОННАЯ КАРТА ДОКУМЕНТАЦИИ О ПРОВЕДЕНИИ АУКЦИОНА В ЭЛЕКТРОННОЙ ФОРМЕ</w:t>
      </w:r>
      <w:r>
        <w:rPr>
          <w:rFonts w:ascii="Times New Roman" w:hAnsi="Times New Roman"/>
          <w:color w:val="000000" w:themeColor="text1"/>
        </w:rPr>
      </w:r>
    </w:p>
    <w:tbl>
      <w:tblPr>
        <w:tblW w:w="97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56"/>
        <w:gridCol w:w="2930"/>
        <w:gridCol w:w="6120"/>
        <w:gridCol w:w="55"/>
      </w:tblGrid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№ п/п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Общие сведения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Наименование Заказчика, место нахождения, почтовый адрес, адрес электронной почты, номер контактного телефона.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eastAsia="ru-RU"/>
              </w:rPr>
              <w:t xml:space="preserve">АССОЦИАЦИЯ "НЕКОММЕРЧЕСКОЕ ПАРТНЕРСТВО РОССИЙСКИЙ ЦЕНТР ОСВОЕНИЯ АРКТИКИ"</w:t>
            </w:r>
            <w:r>
              <w:rPr>
                <w:rFonts w:ascii="Times New Roman" w:hAnsi="Times New Roman" w:eastAsia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eastAsia="ru-RU"/>
              </w:rPr>
              <w:t xml:space="preserve">НП "Центр Освоения Арктики"</w:t>
            </w:r>
            <w:r>
              <w:rPr>
                <w:rFonts w:ascii="Times New Roman" w:hAnsi="Times New Roman" w:eastAsia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eastAsia="ru-RU"/>
              </w:rPr>
              <w:t xml:space="preserve">629007, Ямало-Ненецкий автономный округ, город Салехард, ул. Республики, д. 20, офис 204</w:t>
            </w:r>
            <w:r>
              <w:rPr>
                <w:rFonts w:ascii="Times New Roman" w:hAnsi="Times New Roman" w:eastAsia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eastAsia="ru-RU"/>
              </w:rPr>
              <w:t xml:space="preserve">629007, Ямало-Ненецкий автономный округ, город Салехард, ул. Республики, д. 20, офис 204</w:t>
            </w:r>
            <w:r>
              <w:rPr>
                <w:rFonts w:ascii="Times New Roman" w:hAnsi="Times New Roman" w:eastAsia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eastAsia="ru-RU"/>
              </w:rPr>
              <w:t xml:space="preserve">info@rcoa.ru</w:t>
            </w:r>
            <w:r>
              <w:rPr>
                <w:rFonts w:ascii="Times New Roman" w:hAnsi="Times New Roman" w:eastAsia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eastAsia="ru-RU"/>
              </w:rPr>
              <w:t xml:space="preserve">+7 951 984 33 94, т. 9-94-20</w:t>
            </w:r>
            <w:r>
              <w:rPr>
                <w:rFonts w:ascii="Times New Roman" w:hAnsi="Times New Roman" w:eastAsia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Theme="minorEastAsia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eastAsia="ru-RU"/>
              </w:rPr>
              <w:t xml:space="preserve">Умников Андрей Николаевич</w:t>
            </w:r>
            <w:r>
              <w:rPr>
                <w:rFonts w:ascii="Times New Roman" w:hAnsi="Times New Roman" w:eastAsiaTheme="minorEastAsia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Способ определения поставщиков (подрядчиков, исполнителей)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pStyle w:val="878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Аукцион в электронной форме (далее – аукцион, закупка, торги)</w:t>
            </w:r>
            <w:r>
              <w:rPr>
                <w:color w:val="000000" w:themeColor="text1"/>
                <w:sz w:val="22"/>
                <w:szCs w:val="22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3.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Наименование объекта закупки: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Поставка дизельного топлива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4.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Описание объекта закупки: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В соответствии с техническим заданием (Раздел № 4 </w:t>
            </w:r>
            <w:r>
              <w:rPr>
                <w:rFonts w:ascii="Times New Roman" w:hAnsi="Times New Roman"/>
                <w:bCs/>
                <w:color w:val="000000" w:themeColor="text1"/>
              </w:rPr>
              <w:t xml:space="preserve">документации о проведении аукциона).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5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Требования к безопасности, качеству, техническим характеристикам, функциональным </w:t>
            </w:r>
            <w:r>
              <w:rPr>
                <w:rFonts w:ascii="Times New Roman" w:hAnsi="Times New Roman"/>
                <w:color w:val="000000" w:themeColor="text1"/>
              </w:rPr>
              <w:t xml:space="preserve">характеристикам (потребительским свойствам) товара, к размерам, упаковке, отгрузке товара,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</w:t>
            </w:r>
            <w:r>
              <w:rPr>
                <w:rFonts w:ascii="Times New Roman" w:hAnsi="Times New Roman"/>
                <w:color w:val="000000" w:themeColor="text1"/>
              </w:rPr>
              <w:t xml:space="preserve">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 потребностям заказчика: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В соответствии с техническим заданием (Раздел № 4 документации о проведении аукциона).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6.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Место поставки товара</w:t>
            </w:r>
            <w:r>
              <w:rPr>
                <w:rFonts w:ascii="Times New Roman" w:hAnsi="Times New Roman"/>
                <w:color w:val="000000" w:themeColor="text1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Место поставки: место поставки: земельный участок с кадастровым номером 89:02:011203:177 MAC «Снежинка»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7.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Сроки поставки товара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Срок поставки: с момента заключения Договора по 15.11.2027 года</w:t>
            </w:r>
            <w:r>
              <w:rPr>
                <w:rFonts w:ascii="Times New Roman" w:hAnsi="Times New Roman"/>
                <w:color w:val="000000" w:themeColor="text1"/>
              </w:rPr>
              <w:t xml:space="preserve">.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 xml:space="preserve">Поставка Товара осуществляется партиями. Количество, срок, условия поставки, цена Товара, подлежащего поставке и иная информация, определяется Сторонами в Спецификациях, на каждую отдельную партию поставки</w:t>
            </w:r>
            <w:r>
              <w:rPr>
                <w:rFonts w:ascii="Times New Roman" w:hAnsi="Times New Roman"/>
                <w:color w:val="000000" w:themeColor="text1"/>
                <w:spacing w:val="4"/>
              </w:rPr>
              <w:t xml:space="preserve">.</w:t>
            </w:r>
            <w:r>
              <w:rPr>
                <w:rFonts w:ascii="Times New Roman" w:hAnsi="Times New Roman"/>
                <w:color w:val="000000" w:themeColor="text1"/>
              </w:rPr>
            </w:r>
            <w:r/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8.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Количество поставляемого </w:t>
            </w:r>
            <w:r>
              <w:rPr>
                <w:rFonts w:ascii="Times New Roman" w:hAnsi="Times New Roman"/>
                <w:color w:val="000000" w:themeColor="text1"/>
              </w:rPr>
              <w:t xml:space="preserve">товара, объема выполняемых работ, оказываемых услуг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В соответствии с техническим заданием (Раздел № 4 </w:t>
            </w:r>
            <w:r>
              <w:rPr>
                <w:rFonts w:ascii="Times New Roman" w:hAnsi="Times New Roman"/>
                <w:color w:val="000000" w:themeColor="text1"/>
              </w:rPr>
              <w:t xml:space="preserve">документации о проведении аукциона).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9.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Условия поставки товара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В соответствии с техническим заданием (Раздел № 4 документации о проведении аукциона) и проектом договора (Раздел № 3 документации о проведении аукциона).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10.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Сведения о начальной (максимальной) цене договоров: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7 245 000 (Семь миллионов двести сорок пять тысяч) рублей 00 копеек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</w:rPr>
            </w:r>
            <w:r>
              <w:rPr>
                <w:rFonts w:ascii="Times New Roman" w:hAnsi="Times New Roman" w:eastAsia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Обоснование начальной (максимальной) цены закупки приведено в Разделе № 5 документации о проведении аукциона).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11.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Порядок формирования цены договора (с учетом или без учета расходов на перевозку, страхование, уплату таможенных пошлин, налогов и других обязательных платежей):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eastAsia="zh-CN"/>
              </w:rPr>
              <w:t xml:space="preserve">Цена Договора включает в себя стоимость Товара, вознаграждение и все издержки Поставщика, в том числе любы</w:t>
            </w:r>
            <w:r>
              <w:rPr>
                <w:rFonts w:ascii="Times New Roman" w:hAnsi="Times New Roman" w:eastAsia="Times New Roman"/>
                <w:color w:val="000000" w:themeColor="text1"/>
                <w:lang w:eastAsia="zh-CN"/>
              </w:rPr>
              <w:t xml:space="preserve">е налоги и сборы, транспортные, командировочные, погрузочно-разгрузочные расходы, затраты и риски Поставщика по доставке Товара в адрес Покупателя, и все иные необходимые расходы во исполнение Договора. Стоимость является твёрдой и не подлежит изменению.  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12.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Источник финансирования: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Бюджетные средства (Пос</w:t>
            </w:r>
            <w:r>
              <w:rPr>
                <w:rFonts w:ascii="Times New Roman" w:hAnsi="Times New Roman"/>
                <w:color w:val="000000" w:themeColor="text1"/>
              </w:rPr>
              <w:t xml:space="preserve">тановление от 17.04.2026 №193-П, предоставление субсидии в целях обустройства и содержания инфраструктуры полигона водородной энергетики в Нефритовой долине Ямало-Ненецкого автономного округа в рамках создания международной арктической станции «Снежинка») 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13.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Форма, сроки и порядок оплаты товара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color w:val="000000" w:themeColor="text1"/>
                <w:lang w:eastAsia="zh-CN"/>
              </w:rPr>
              <w:t xml:space="preserve">Расчеты по Договору осуществляются за фактически принятое Покупателем количество Товара в партии, согласно </w:t>
            </w:r>
            <w:r>
              <w:rPr>
                <w:rFonts w:ascii="Times New Roman" w:hAnsi="Times New Roman" w:eastAsia="Times New Roman"/>
                <w:color w:val="ee0000"/>
                <w:lang w:eastAsia="zh-CN"/>
              </w:rPr>
              <w:t xml:space="preserve">подписанной Сторонами Спецификации</w:t>
            </w:r>
            <w:r>
              <w:rPr>
                <w:rFonts w:ascii="Times New Roman" w:hAnsi="Times New Roman" w:eastAsia="Times New Roman"/>
                <w:color w:val="000000" w:themeColor="text1"/>
                <w:lang w:eastAsia="zh-CN"/>
              </w:rPr>
              <w:t xml:space="preserve">, данным приборов учета Покупателя, и сведениям товаросопроводительных документов, в </w:t>
            </w:r>
            <w:r>
              <w:rPr>
                <w:rFonts w:ascii="Times New Roman" w:hAnsi="Times New Roman" w:eastAsia="Times New Roman"/>
                <w:color w:val="000000" w:themeColor="text1"/>
                <w:lang w:eastAsia="zh-CN"/>
              </w:rPr>
              <w:t xml:space="preserve">безналичном порядке путем перечисления денежных средств на расчетный счет Поставщика в течение 7 (семи) рабочих дней с даты приемки партии Товара по качеству.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14.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Информация о валюте, используемой для формирования цены договора и расчетов с Поставщиком</w:t>
            </w:r>
            <w:r>
              <w:rPr>
                <w:rFonts w:ascii="Times New Roman" w:hAnsi="Times New Roman"/>
                <w:color w:val="000000" w:themeColor="text1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Российский рубль</w:t>
            </w:r>
            <w:r>
              <w:rPr>
                <w:rFonts w:ascii="Times New Roman" w:hAnsi="Times New Roman"/>
                <w:color w:val="000000" w:themeColor="text1"/>
                <w:highlight w:val="yellow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15.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Адрес электронной площадки в информационно-телекоммуникационной сети «Интернет», место подачи заявок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eastAsiaTheme="minorEastAsia"/>
                <w:b/>
                <w:color w:val="000000" w:themeColor="text1"/>
                <w:u w:val="single"/>
                <w:lang w:eastAsia="ru-RU"/>
              </w:rPr>
              <w:t xml:space="preserve">ЭТП «Р-Тендер» </w:t>
            </w:r>
            <w:r>
              <w:rPr>
                <w:rFonts w:ascii="Times New Roman" w:hAnsi="Times New Roman" w:eastAsiaTheme="minorEastAsia"/>
                <w:b/>
                <w:color w:val="000000" w:themeColor="text1"/>
                <w:u w:val="single"/>
                <w:lang w:val="en-US" w:eastAsia="ru-RU"/>
              </w:rPr>
              <w:t xml:space="preserve">http</w:t>
            </w:r>
            <w:r>
              <w:rPr>
                <w:rFonts w:ascii="Times New Roman" w:hAnsi="Times New Roman" w:eastAsiaTheme="minorEastAsia"/>
                <w:b/>
                <w:color w:val="000000" w:themeColor="text1"/>
                <w:u w:val="single"/>
                <w:lang w:eastAsia="ru-RU"/>
              </w:rPr>
              <w:t xml:space="preserve">://</w:t>
            </w:r>
            <w:r>
              <w:rPr>
                <w:rFonts w:ascii="Times New Roman" w:hAnsi="Times New Roman" w:eastAsiaTheme="minorEastAsia"/>
                <w:b/>
                <w:color w:val="000000" w:themeColor="text1"/>
                <w:u w:val="single"/>
                <w:lang w:val="en-US" w:eastAsia="ru-RU"/>
              </w:rPr>
              <w:t xml:space="preserve">r</w:t>
            </w:r>
            <w:r>
              <w:rPr>
                <w:rFonts w:ascii="Times New Roman" w:hAnsi="Times New Roman" w:eastAsiaTheme="minorEastAsia"/>
                <w:b/>
                <w:color w:val="000000" w:themeColor="text1"/>
                <w:u w:val="single"/>
                <w:lang w:eastAsia="ru-RU"/>
              </w:rPr>
              <w:t xml:space="preserve">-</w:t>
            </w:r>
            <w:r>
              <w:rPr>
                <w:rFonts w:ascii="Times New Roman" w:hAnsi="Times New Roman" w:eastAsiaTheme="minorEastAsia"/>
                <w:b/>
                <w:color w:val="000000" w:themeColor="text1"/>
                <w:u w:val="single"/>
                <w:lang w:val="en-US" w:eastAsia="ru-RU"/>
              </w:rPr>
              <w:t xml:space="preserve">tender</w:t>
            </w:r>
            <w:r>
              <w:rPr>
                <w:rFonts w:ascii="Times New Roman" w:hAnsi="Times New Roman" w:eastAsiaTheme="minorEastAsia"/>
                <w:b/>
                <w:color w:val="000000" w:themeColor="text1"/>
                <w:u w:val="single"/>
                <w:lang w:eastAsia="ru-RU"/>
              </w:rPr>
              <w:t xml:space="preserve">.</w:t>
            </w:r>
            <w:r>
              <w:rPr>
                <w:rFonts w:ascii="Times New Roman" w:hAnsi="Times New Roman" w:eastAsiaTheme="minorEastAsia"/>
                <w:b/>
                <w:color w:val="000000" w:themeColor="text1"/>
                <w:u w:val="single"/>
                <w:lang w:val="en-US" w:eastAsia="ru-RU"/>
              </w:rPr>
              <w:t xml:space="preserve">ru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16.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Размещение информации о закупке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 даты и времени фактической публикации извещения о проведении настоящего аукциона в электронной форме и до даты и времени окончания срока подачи заявок на участие в аукционе в электронной форме, в соответствии с функционалом ЭТП.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17.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Порядок предоставления информации о закупке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На сайте электронной торговой площадки (далее также –Э ТП), документация находится в открытом доступе, начиная с даты размещения извещения и аукционной документации.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Закупочная документация предоставляется без взимания платы.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18.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Форма, порядок, дата и время окончания срока предоставления участникам закупки разъяснений </w:t>
            </w:r>
            <w:r>
              <w:rPr>
                <w:rFonts w:ascii="Times New Roman" w:hAnsi="Times New Roman"/>
                <w:color w:val="000000" w:themeColor="text1"/>
              </w:rPr>
              <w:t xml:space="preserve">положений документации о закупке: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Разъяснения положений извещения об осуществлении закупки размещаются на официальном сайте Заказчика в сети «Интернет» или на ЭП в срок не позднее 3 рабочих дней с даты поступления такого запроса с указанием предмета запроса, но </w:t>
            </w:r>
            <w:r>
              <w:rPr>
                <w:rFonts w:ascii="Times New Roman" w:hAnsi="Times New Roman"/>
                <w:color w:val="000000" w:themeColor="text1"/>
              </w:rPr>
              <w:t xml:space="preserve">без указания участника такой закупки, от которого поступил указанный запрос. Разъяснения положений извещения об осуществл</w:t>
            </w:r>
            <w:r>
              <w:rPr>
                <w:rFonts w:ascii="Times New Roman" w:hAnsi="Times New Roman"/>
                <w:color w:val="000000" w:themeColor="text1"/>
              </w:rPr>
              <w:t xml:space="preserve">ении закупки не должны изменять предмет закупки и существенные условия проекта договора. При этом Заказчик вправе не осуществлять такое разъяснение в случае, если указанный запрос поступил позднее чем за 3 рабочих дня до даты окончания срока подачи заявок.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19.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Внесение изменений в извещение и документацию о закупке: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  <w:highlight w:val="red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Изменения, вносимые в извещение об осуществлении закупки, разъяснения положений извещения об осуществлении </w:t>
            </w:r>
            <w:r>
              <w:rPr>
                <w:rFonts w:ascii="Times New Roman" w:hAnsi="Times New Roman"/>
                <w:color w:val="000000" w:themeColor="text1"/>
              </w:rPr>
              <w:t xml:space="preserve">закупки размещаются Заказчиком на официальном сайте Заказчика в сети «Интернет» или на ЭП в срок не позднее 3 рабочих дней со дня принятия решения о внесении указанных изменений, представления указанных разъяснений. При этом срок подачи заявок должен быть </w:t>
            </w:r>
            <w:r>
              <w:rPr>
                <w:rFonts w:ascii="Times New Roman" w:hAnsi="Times New Roman"/>
                <w:color w:val="000000" w:themeColor="text1"/>
              </w:rPr>
              <w:t xml:space="preserve">продлен таким образом, чтобы с даты размещения на официальном сайте Заказчика в сети «Интернет» или на ЭП указанных изменений до даты окончания срока подачи заявок оставалось не менее половины срока подачи заявок, установленного в соответствии с Положением</w:t>
            </w:r>
            <w:r>
              <w:rPr>
                <w:rFonts w:ascii="Times New Roman" w:hAnsi="Times New Roman"/>
                <w:color w:val="000000" w:themeColor="text1"/>
                <w:highlight w:val="red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20.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eastAsia="ru-RU"/>
              </w:rPr>
              <w:t xml:space="preserve">Сведения о праве Заказчика отказаться от проведения процедуры закупки: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Заказчик, разместивший на своем официальном сайте в сети «Интернет» или на ЭП извещение об осуществлении закупки, вправе отменить закупку до наступления даты и времени окончания срока подачи </w:t>
            </w:r>
            <w:r>
              <w:rPr>
                <w:rFonts w:ascii="Times New Roman" w:hAnsi="Times New Roman"/>
                <w:color w:val="000000" w:themeColor="text1"/>
              </w:rPr>
              <w:t xml:space="preserve">заявок. По истечении даты и времени окончания срока подачи заявок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 Российской Федерации.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  <w:highlight w:val="red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Решение об отмене проведения закупки размещается на официальном сайте Заказчика в сети «Интернет» или на ЭП в день принятия этого решения.</w:t>
            </w:r>
            <w:r>
              <w:rPr>
                <w:rFonts w:ascii="Times New Roman" w:hAnsi="Times New Roman"/>
                <w:color w:val="000000" w:themeColor="text1"/>
                <w:highlight w:val="red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21.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Требования к описанию участниками закупки поставляемого товара, его функциональных характеристик (потребительских свойств), его количественных и качественных характеристик: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В случае установления в документации об электронном аукционе требований к товарам, конкретные показатели (значения ха</w:t>
            </w:r>
            <w:r>
              <w:rPr>
                <w:rFonts w:ascii="Times New Roman" w:hAnsi="Times New Roman"/>
                <w:color w:val="000000" w:themeColor="text1"/>
              </w:rPr>
              <w:t xml:space="preserve">рактеристик) товара, предлагаемого к поставке или использованию при выполнении работ, оказании услуг, должны быть указаны в полном соответствии с требованиями, установленными заказчиком в техническом задании (Раздел № 4 документации о проведении аукциона).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22.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Требования к участникам закупки: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pStyle w:val="880"/>
              <w:ind w:left="0" w:firstLine="259"/>
              <w:jc w:val="both"/>
              <w:widowControl w:val="off"/>
              <w:rPr>
                <w:b/>
                <w:color w:val="000000" w:themeColor="text1"/>
                <w:sz w:val="22"/>
                <w:szCs w:val="22"/>
              </w:rPr>
              <w:outlineLvl w:val="1"/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Обязательные требования к участникам закупки:</w:t>
            </w:r>
            <w:r>
              <w:rPr>
                <w:b/>
                <w:color w:val="000000" w:themeColor="text1"/>
                <w:sz w:val="22"/>
                <w:szCs w:val="22"/>
              </w:rPr>
            </w:r>
          </w:p>
          <w:p>
            <w:pPr>
              <w:numPr>
                <w:ilvl w:val="0"/>
                <w:numId w:val="6"/>
              </w:numPr>
              <w:contextualSpacing/>
              <w:ind w:left="0" w:firstLine="30"/>
              <w:jc w:val="both"/>
              <w:spacing w:after="0" w:line="240" w:lineRule="auto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соответствие требованиям, устанавливаемым законодательством Российской Федерации к лицам, осуществляющим поставку отдельных товаров, выполнение отдельных работ, оказание отдельных услуг, являющихся предметом закупки;</w:t>
            </w:r>
            <w:r>
              <w:rPr>
                <w:rFonts w:ascii="Times New Roman" w:hAnsi="Times New Roman" w:eastAsia="Times New Roman"/>
                <w:bCs/>
                <w:color w:val="000000" w:themeColor="text1"/>
              </w:rPr>
            </w:r>
          </w:p>
          <w:p>
            <w:pPr>
              <w:contextualSpacing/>
              <w:ind w:firstLine="30"/>
              <w:jc w:val="both"/>
              <w:spacing w:after="160" w:line="240" w:lineRule="auto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 непроведение ликвидации участника закупки – юридического лица и отсутствие решения арбитражного суда о признании участника закупки – юридического лица или индивидуального предпринимателя несостоятельным (банкротом) и об открытии конкурсного производства; </w:t>
            </w:r>
            <w:r>
              <w:rPr>
                <w:rFonts w:ascii="Times New Roman" w:hAnsi="Times New Roman" w:eastAsia="Times New Roman"/>
                <w:bCs/>
                <w:color w:val="000000" w:themeColor="text1"/>
              </w:rPr>
            </w:r>
          </w:p>
          <w:p>
            <w:pPr>
              <w:contextualSpacing/>
              <w:jc w:val="both"/>
              <w:spacing w:after="160" w:line="240" w:lineRule="auto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3.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неприостановление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 деятельности участника закупки – юридического лица в порядке, предусмотренном Кодексом Российской Федерации об административных правонарушениях (далее – КоАП РФ), на день подачи заявки;</w:t>
            </w:r>
            <w:r>
              <w:rPr>
                <w:rFonts w:ascii="Times New Roman" w:hAnsi="Times New Roman" w:eastAsia="Times New Roman"/>
                <w:bCs/>
                <w:color w:val="000000" w:themeColor="text1"/>
              </w:rPr>
            </w:r>
          </w:p>
          <w:p>
            <w:pPr>
              <w:contextualSpacing/>
              <w:ind w:firstLine="30"/>
              <w:jc w:val="both"/>
              <w:spacing w:after="160" w:line="240" w:lineRule="auto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4. отсутствие в предусмотренных Законом № 44-ФЗ и Законом № 223-ФЗ реестрах недобросовестных поставщиков сведений об участнике закупки, а также в реестре недобросовестных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подрядных организаций, предусмотренном постановлением Правительства Российской Федерации от 01 июля 2016 г. № 615 «О поряд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ке привлечения подрядных организаций для оказания услуг и (или) выполнения работ по капитальному ремонту общего имущества в многоквартирном доме, порядке осуществления закупок товаров, работ, услуг в целях выполнения функций специализированной некоммерческ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ой организации, осуществляющей деятельность, направленную на обеспечение проведения капитального ремонта общего имущества в многоквартирных домах, о порядке осуществления специализированной некоммерческой организацией, осуществляющей деятельность, направле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нную на обеспечение проведения капитального ремонта общего имущества в многоквартирных домах, закупки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у ремонту общего имущества в многоквартирном доме, и реализации закупленных и не использованных на проведение капитального ремонта общего имущества в многоквартирном доме товаров (материалов и оборудования, в том числе высокотехнологичного оборудования)»; </w:t>
            </w:r>
            <w:r>
              <w:rPr>
                <w:rFonts w:ascii="Times New Roman" w:hAnsi="Times New Roman" w:eastAsia="Times New Roman"/>
                <w:bCs/>
                <w:color w:val="000000" w:themeColor="text1"/>
              </w:rPr>
            </w:r>
          </w:p>
          <w:p>
            <w:pPr>
              <w:contextualSpacing/>
              <w:jc w:val="both"/>
              <w:spacing w:after="160" w:line="240" w:lineRule="auto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5.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м случаев заключения договоров на создание произведений литературы или искусства (за исключением программ для электронно-вычислительных машин, баз данных), исполнения, а также заключения договоров на финансирование проката или показа национального фильма; </w:t>
            </w:r>
            <w:r>
              <w:rPr>
                <w:rFonts w:ascii="Times New Roman" w:hAnsi="Times New Roman" w:eastAsia="Times New Roman"/>
                <w:bCs/>
                <w:color w:val="000000" w:themeColor="text1"/>
              </w:rPr>
            </w:r>
          </w:p>
          <w:p>
            <w:pPr>
              <w:contextualSpacing/>
              <w:jc w:val="both"/>
              <w:spacing w:after="160" w:line="240" w:lineRule="auto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6. отсутствие между участником закупки и Заказчиком конфликта интересов, под которым понимаются случаи, при которых руководитель Заказчика, член Закупочной комиссии состоят в браке с физическим лицом, являющимся выгодо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приобретателем (физическим лицом, владеющим напрямую или косвенно (через юридическое лицо или через несколько юридических лиц) более чем 10 процентами голосующих акций хозяйственного общества либо долей, превышающей 10 процентов в уставном капитале хозяйст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венного обществ), единоличным исполнительным органом хозяйственного общества (директором, генеральным директором, управляющим, президентом и другими), членом коллегиального исполнительного органа хозяйственного общества, руководителем (директором, генераль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ным директором) учреждения или унитарного предприятия либо иными органами управления юридического лица участника закупки, с физическим лицом, в том числе зарегистрированным в качестве индивидуального предпринимателя, участником закупки либо являются близки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ми родственниками (по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указанного физического лица; </w:t>
            </w:r>
            <w:r>
              <w:rPr>
                <w:rFonts w:ascii="Times New Roman" w:hAnsi="Times New Roman" w:eastAsia="Times New Roman"/>
                <w:bCs/>
                <w:color w:val="000000" w:themeColor="text1"/>
              </w:rPr>
            </w:r>
          </w:p>
          <w:p>
            <w:pPr>
              <w:contextualSpacing/>
              <w:jc w:val="both"/>
              <w:spacing w:after="160" w:line="240" w:lineRule="auto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7. участник закупки не является офшорной компанией, не имеет в составе участников (членов) корпоративного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рямую или косвенно (через юридическое лицо или через несколько юридических лиц) более чем 10 процентами голосующих акций хозяйственного общества либо долей, превышающей 10 процентов в уставном (складочном) капитале хозяйственного товарищества или общества;</w:t>
            </w:r>
            <w:r>
              <w:rPr>
                <w:rFonts w:ascii="Times New Roman" w:hAnsi="Times New Roman" w:eastAsia="Times New Roman"/>
                <w:bCs/>
                <w:color w:val="000000" w:themeColor="text1"/>
              </w:rPr>
            </w:r>
          </w:p>
          <w:p>
            <w:pPr>
              <w:contextualSpacing/>
              <w:jc w:val="both"/>
              <w:spacing w:after="160" w:line="240" w:lineRule="auto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8. отсутствие у участника закупки задолженно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сти по налогам, сборам и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ежными к взысканию в соответствии с законодательством Российской Федерации о налогах и сборах) за прошедший календарный год, размер которых превышает 25 процентов балансовой стоимости активов участника закупки по данным бухгалтерской отчетности за последни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указанной задолженности и решение по такому заявлению на дату рассмотрения заявки не принято; </w:t>
            </w:r>
            <w:r>
              <w:rPr>
                <w:rFonts w:ascii="Times New Roman" w:hAnsi="Times New Roman" w:eastAsia="Times New Roman"/>
                <w:bCs/>
                <w:color w:val="000000" w:themeColor="text1"/>
              </w:rPr>
            </w:r>
          </w:p>
          <w:p>
            <w:pPr>
              <w:contextualSpacing/>
              <w:jc w:val="both"/>
              <w:spacing w:after="160" w:line="240" w:lineRule="auto"/>
              <w:rPr>
                <w:rFonts w:ascii="Times New Roman" w:hAnsi="Times New Roman" w:eastAsia="Times New Roman"/>
                <w:bCs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9. отсутствие у участника закупки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судимости за преступления в сфере экономики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 </w:t>
            </w:r>
            <w:r>
              <w:rPr>
                <w:rFonts w:ascii="Times New Roman" w:hAnsi="Times New Roman" w:eastAsia="Times New Roman"/>
                <w:bCs/>
                <w:color w:val="000000" w:themeColor="text1"/>
              </w:rPr>
            </w:r>
          </w:p>
          <w:p>
            <w:pPr>
              <w:contextualSpacing/>
              <w:jc w:val="both"/>
              <w:spacing w:after="16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10. участник закупки – юридическое лицо в течение 2 лет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lang w:eastAsia="ru-RU"/>
              </w:rPr>
              <w:t xml:space="preserve"> до даты подачи заявки не было привлечено к административной ответственности за совершение административного правонарушения, предусмотренного статьей 19.28 КоАП РФ; 9.1.11. участник закупки не является иностранным агентом в соответствии с Законом № 255-ФЗ.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23.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Требования к содержанию, форме, оформлению и составу заявки на участие в аукционе: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Заказчиком устанавливаются в извещении об осуществлении закупки следующие обязательные требования к содержанию и составу заявки: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1.1. указание фирме</w:t>
            </w:r>
            <w:r>
              <w:rPr>
                <w:rFonts w:ascii="Times New Roman" w:hAnsi="Times New Roman"/>
                <w:color w:val="000000" w:themeColor="text1"/>
              </w:rPr>
              <w:t xml:space="preserve">нного наименования (наименования), сведений об организационно-правовой форме, места нахождения, почтового адреса (для юридического лица), фамилии, имени, отчества (при наличии), паспортных данных, сведений о месте жительства (для физического лица), номера </w:t>
            </w:r>
            <w:r>
              <w:rPr>
                <w:rFonts w:ascii="Times New Roman" w:hAnsi="Times New Roman"/>
                <w:color w:val="000000" w:themeColor="text1"/>
              </w:rPr>
              <w:t xml:space="preserve">контактного телефона, адреса электронной почты участника закупки;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1.2. наличие надлежащим образом заверенной копии действующей редакции учредительных документов участника закупки (для юридических лиц);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1.3. наличие документа, подтверждающего полномочия лица на осуществление действий от имени участника закупки в соответствии с законодательством Российской Федерации;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1.4. наличие решения о согласии на совершение или о последующем одобрении крупной сделки либо надлежащим образом заверенная копия такого решения в случае, если требование о необходимости наличия такого ре</w:t>
            </w:r>
            <w:r>
              <w:rPr>
                <w:rFonts w:ascii="Times New Roman" w:hAnsi="Times New Roman"/>
                <w:color w:val="000000" w:themeColor="text1"/>
              </w:rPr>
              <w:t xml:space="preserve">шения для совершения крупной сделки установлено законодательством Российской Федерации и если для участника закупки поставка товаров, выполнение работ, оказание услуг, являющихся предметом договора, или внесение денежных средств в качестве обеспечения заяв</w:t>
            </w:r>
            <w:r>
              <w:rPr>
                <w:rFonts w:ascii="Times New Roman" w:hAnsi="Times New Roman"/>
                <w:color w:val="000000" w:themeColor="text1"/>
              </w:rPr>
              <w:t xml:space="preserve">ки, обеспечения исполнения договора являются крупной сделкой. Решение о согласии на совершение или о последующем одобрении крупной сделки должно содержать указание на то, что решение выдано для участия в закупках, и содержать сумму, на которую оно выдано;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1.5. наличие декларации и иных документов в соответствии с требованиями, установленными пунктом 22 настоящей документации;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1.6. наличие документа (надлежащим образом заверенной копии документа), подтверждающего внесения обеспечения заявки, если требование обеспечения таких заявок указано в извещении об осуществлении закупки,</w:t>
            </w:r>
            <w:r>
              <w:rPr>
                <w:rFonts w:ascii="Times New Roman" w:hAnsi="Times New Roman"/>
                <w:color w:val="000000" w:themeColor="text1"/>
              </w:rPr>
              <w:t xml:space="preserve"> за исключением случаев предоставления обеспечения заявки в электронной форме в виде внесения денежных средств на лицевой счет участника закупки на ЭП (в указанном случае подтверждение наличия обеспечения заявки осуществляется посредством функционала ЭП);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1.7. наличие информации и документов (надлежащим образом заверенной копии документо</w:t>
            </w:r>
            <w:r>
              <w:rPr>
                <w:rFonts w:ascii="Times New Roman" w:hAnsi="Times New Roman"/>
                <w:color w:val="000000" w:themeColor="text1"/>
              </w:rPr>
              <w:t xml:space="preserve">в), подтверждающих наименование страны происхождения поставляемого товара (при осуществлении закупки товара, в том числе поставляемого Заказчику при выполнении закупаемых работ, оказании закупаемых услуг), определенных Правительством Российской Федерации.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1.8. согласие участника аукциона в электронной форме на поставку товара, выполнени</w:t>
            </w:r>
            <w:r>
              <w:rPr>
                <w:rFonts w:ascii="Times New Roman" w:hAnsi="Times New Roman"/>
                <w:color w:val="000000" w:themeColor="text1"/>
              </w:rPr>
              <w:t xml:space="preserve">е работы или оказание услуги на условиях, предусмотренных извещением о проведении аукциона в электронной форме и не подлежащих изменению по результатам проведения аукциона в электронной форме, представляемое с применением программно-аппаратных средств ЭП;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1.9. конкретные показате</w:t>
            </w:r>
            <w:r>
              <w:rPr>
                <w:rFonts w:ascii="Times New Roman" w:hAnsi="Times New Roman"/>
                <w:color w:val="000000" w:themeColor="text1"/>
              </w:rPr>
              <w:t xml:space="preserve">ли товара, соответствующие значениям, установленным в извещении о проведении аукциона в электронной форме, и указание на товарный знак (при наличии) при осуществлении закупки товара или закупки работы, услуги, для выполнения, оказания которых осуществляетс</w:t>
            </w:r>
            <w:r>
              <w:rPr>
                <w:rFonts w:ascii="Times New Roman" w:hAnsi="Times New Roman"/>
                <w:color w:val="000000" w:themeColor="text1"/>
              </w:rPr>
              <w:t xml:space="preserve">я поставка товара. Информация, предусмотренная настоящим пунктом, включается в заявку на участие в аукционе в электронной форме в случае отсутствия в извещении о проведении аукциона в электронной форме указания на товарный знак или в случае, если участник </w:t>
            </w:r>
            <w:r>
              <w:rPr>
                <w:rFonts w:ascii="Times New Roman" w:hAnsi="Times New Roman"/>
                <w:color w:val="000000" w:themeColor="text1"/>
              </w:rPr>
              <w:t xml:space="preserve">аукциона в электронной форме предлагает товар, который обозначен товарным знаком, отличным от товарного знака, указанного в извещении о проведении аукциона в электронной форме.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2. В состав заявки может включаться макет, эскиз, рисунок, чертеж, фотография, иное изображение товара, на поставку которого осуществляется закупка.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firstLine="259"/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3. В случае если для участника закупки поставка товаров, выполнение работ, оказание услуг, являющ</w:t>
            </w:r>
            <w:r>
              <w:rPr>
                <w:rFonts w:ascii="Times New Roman" w:hAnsi="Times New Roman"/>
                <w:color w:val="000000" w:themeColor="text1"/>
              </w:rPr>
              <w:t xml:space="preserve">ихся предметом договора, или внесение денежных средств в качестве обеспечения заявки, обеспечения исполнения договора не являются крупной сделкой, участник закупки в составе заявки указывает информацию о том, что данная сделка не является для него крупной.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24.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Размер обеспечения заявки на участие в аукционе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Не установлено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25.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Размер обеспечения исполнения договора: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Не установлено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26.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Порядок, дата начала, дата и время окончания срока подачи заявок на участие в электронном аукционе и порядок подведения итогов этапов такого аукциона: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  <w:outlineLvl w:val="1"/>
            </w:pPr>
            <w:r>
              <w:rPr>
                <w:rFonts w:ascii="Times New Roman" w:hAnsi="Times New Roman"/>
                <w:color w:val="000000" w:themeColor="text1"/>
              </w:rPr>
              <w:t xml:space="preserve">Заявка направляется участником закупки в форме электро</w:t>
            </w:r>
            <w:r>
              <w:rPr>
                <w:rFonts w:ascii="Times New Roman" w:hAnsi="Times New Roman"/>
                <w:color w:val="000000" w:themeColor="text1"/>
              </w:rPr>
              <w:t xml:space="preserve">нного документа. Электронные документы участника закупки, Заказчика, оператора ЭТП должны быть подписаны усиленной квалифицированной электронной подписью лица, имеющего право действовать от имени соответственно участника закупки, Заказчика, оператора ЭТП;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  <w:outlineLvl w:val="1"/>
            </w:pPr>
            <w:r>
              <w:rPr>
                <w:rFonts w:ascii="Times New Roman" w:hAnsi="Times New Roman"/>
                <w:color w:val="000000" w:themeColor="text1"/>
              </w:rPr>
              <w:t xml:space="preserve">Каждая заявка должна содержать полный пакет документов и сведений, указанных в </w:t>
            </w:r>
            <w:hyperlink r:id="rId12" w:tooltip="file:///C:\Users\админ\Downloads\п.%2023" w:history="1">
              <w:r>
                <w:rPr>
                  <w:rStyle w:val="863"/>
                  <w:rFonts w:ascii="Times New Roman" w:hAnsi="Times New Roman"/>
                  <w:color w:val="000000" w:themeColor="text1"/>
                </w:rPr>
                <w:t xml:space="preserve">п. 23</w:t>
              </w:r>
            </w:hyperlink>
            <w:r>
              <w:rPr>
                <w:rFonts w:ascii="Times New Roman" w:hAnsi="Times New Roman"/>
                <w:color w:val="000000" w:themeColor="text1"/>
              </w:rPr>
              <w:t xml:space="preserve">. Информационной карты аукциона.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b/>
                <w:i/>
                <w:color w:val="000000" w:themeColor="text1"/>
              </w:rPr>
              <w:outlineLvl w:val="1"/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Дата начала подачи заявок на участие в аукционе:</w:t>
            </w:r>
            <w:r>
              <w:rPr>
                <w:rFonts w:ascii="Times New Roman" w:hAnsi="Times New Roman"/>
                <w:color w:val="000000" w:themeColor="text1"/>
              </w:rPr>
              <w:t xml:space="preserve"> с момента фактического размещения извещения на ЭТП</w:t>
            </w:r>
            <w:r>
              <w:rPr>
                <w:rFonts w:ascii="Times New Roman" w:hAnsi="Times New Roman"/>
                <w:b/>
                <w:i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b/>
                <w:color w:val="000000" w:themeColor="text1"/>
              </w:rPr>
              <w:outlineLvl w:val="1"/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Окончание срока подачи заявок на участие в аукционе: «30» октября 2026 года в 10:00 (по местному времени Заказчика).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Закупочная комиссия рассматривает заявки на участие в аукционе в электронной форме на соответствие требованиям, установленным извещением о проведении аукциона в электронной форме.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Срок рассмотрения заявок на участие в аукционе в электронной форме не может превышать 3 рабочих дней со дня размещения на ЭП протокола проведения аукциона в электронной форме.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По результатам рассмотрения заявок на участие в аукционе в электронной форме Закупочная комиссия принимает решение о соответ</w:t>
            </w:r>
            <w:r>
              <w:rPr>
                <w:rFonts w:ascii="Times New Roman" w:hAnsi="Times New Roman"/>
                <w:color w:val="000000" w:themeColor="text1"/>
              </w:rPr>
              <w:t xml:space="preserve">ствии или несоответствии поданной участником аукциона в электронной форме заявки на участие в аукционе в электронной форме установленным извещением о проведении аукциона в электронной форме по основаниям, предусмотренным пунктом 27 настоящей документации. 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27.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eastAsia="ru-RU"/>
              </w:rPr>
              <w:t xml:space="preserve">Условия отказа в допуске к участию в закупке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Участник закупки, подавший заявку, не допускается Закупочной комиссией к участию в такой закупке в случае: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 непредставления в составе заявки обязательных для предоставления документов и сведений, предусмотренных пунктом 23 настоящей документации;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2. несоответствия участника закупки обязательным требованиям к участникам закупок, установленным в извещении об осуществлении закупки в соответствии с пунктами 22 настоящей документации;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3. непредставления документа или надлежащим образом заверенной копии документа, подтверждающего внесение </w:t>
            </w:r>
            <w:r>
              <w:rPr>
                <w:rFonts w:ascii="Times New Roman" w:hAnsi="Times New Roman"/>
                <w:color w:val="000000" w:themeColor="text1"/>
              </w:rPr>
              <w:t xml:space="preserve">обеспечения заявки, если требование о таком обеспечении указано в извещении об осуществлении закупки, представление обеспечения заявки, не соответствующего требованиям Положения или</w:t>
            </w:r>
            <w:r>
              <w:rPr>
                <w:rFonts w:ascii="Times New Roman" w:hAnsi="Times New Roman"/>
                <w:color w:val="000000" w:themeColor="text1"/>
              </w:rPr>
              <w:t xml:space="preserve"> извещения об осуществлении закупки, за исключением случаев обеспечения заявки в виде внесения денежных средств на лицевой счет участника закупки на ЭП (в указанном случае подтверждение наличия обеспечения заявки осуществляется посредством функционала ЭП);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4. несоответствия заявки требованиям извещения об осуществлении закупки, в том числе наличия в первой части заявки (при ее наличии) сведений об участник</w:t>
            </w:r>
            <w:r>
              <w:rPr>
                <w:rFonts w:ascii="Times New Roman" w:hAnsi="Times New Roman"/>
                <w:color w:val="000000" w:themeColor="text1"/>
              </w:rPr>
              <w:t xml:space="preserve">е закупки и (или) о ценовом предложении, включения в заявку предложения о цене договора, превышающей установленную Н(М)ЦД, либо срока выполнения работ (оказания услуг, поставки товара), превышающего срок, установленный извещением об осуществлении закупки;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5. наличия в составе заявки недостоверной информации, в том числе в отношении квалификационных данных участника закупки;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6. отсутствия регистрации предельной отпускной цены на лекарственные препараты, предлагаемые участником закупки, в случае осуществления закупки лекарственных препаратов, включённых в перечень жизненно необходимых и важнейших лекарственных препаратов;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7. отсутствия в составе заявки предложения о функциональных характеристиках (потребительских свойствах) и качественных характеристиках товара, качестве работ (услуг) в случае, если предоставление таких предложений является об</w:t>
            </w:r>
            <w:r>
              <w:rPr>
                <w:rFonts w:ascii="Times New Roman" w:hAnsi="Times New Roman"/>
                <w:color w:val="000000" w:themeColor="text1"/>
              </w:rPr>
              <w:t xml:space="preserve">язательным в соответствии с извещением об осуществлении закупки, либо согласия участника закупки на исполнение договора на условиях, указанных в извещении об осуществлении закупки, отсутствия в составе заявки предложения участника закупки о цене договора;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8. отсутствия декларации или её несоответствие установленным требованиям.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28.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Место и дата рассмотрения предложений участников аукциона и подведения итогов аукциона: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Место рассмотрения заявок на участие в аукционе: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 w:themeColor="text1"/>
                <w:lang w:eastAsia="ru-RU"/>
              </w:rPr>
              <w:t xml:space="preserve">1629007, Ямало-Ненецкий автономный округ, город Салехард, ул. Республики, д. 20, офис 302</w:t>
            </w:r>
            <w:r>
              <w:rPr>
                <w:rFonts w:ascii="Times New Roman" w:hAnsi="Times New Roman" w:eastAsia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Дата рассмотрения заявок на участие в аукционе: </w:t>
            </w:r>
            <w:r>
              <w:rPr>
                <w:rFonts w:ascii="Times New Roman" w:hAnsi="Times New Roman"/>
                <w:color w:val="000000" w:themeColor="text1"/>
              </w:rPr>
              <w:t xml:space="preserve">«30» октября 2026 года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29.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Место, дата и время проведения аукциона, порядок его проведения, величина понижения начальной (максимальной) цены договора («шаг аукциона»):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Электронный аукцион проводится на </w:t>
            </w:r>
            <w:r>
              <w:rPr>
                <w:rFonts w:ascii="Times New Roman" w:hAnsi="Times New Roman" w:eastAsia="Times New Roman"/>
                <w:color w:val="000000" w:themeColor="text1"/>
                <w:lang w:eastAsia="ru-RU"/>
              </w:rPr>
              <w:t xml:space="preserve">ЭТП «Р-Тендер»» http://r-tender.ru</w:t>
            </w:r>
            <w:r>
              <w:rPr>
                <w:rFonts w:ascii="Times New Roman" w:hAnsi="Times New Roman" w:eastAsia="Times New Roman"/>
                <w:color w:val="000000" w:themeColor="text1"/>
              </w:rPr>
            </w:r>
          </w:p>
          <w:p>
            <w:pPr>
              <w:pStyle w:val="880"/>
              <w:ind w:left="0"/>
              <w:jc w:val="both"/>
              <w:widowControl w:val="off"/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«02» ноября 2026г. в 12:00 (по местному времени Заказчика).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pStyle w:val="880"/>
              <w:ind w:left="0"/>
              <w:jc w:val="both"/>
              <w:widowControl w:val="off"/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Размер шага аукциона устанавливается в размере от 0,5% до 5 % от начальной (максимальной) цены договора.</w:t>
            </w:r>
            <w:r>
              <w:rPr>
                <w:color w:val="000000" w:themeColor="text1"/>
                <w:sz w:val="22"/>
                <w:szCs w:val="22"/>
                <w:highlight w:val="yellow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30. 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Определение победителя аукциона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Победителем аукциона в электронной форме признается лицо, предложившее наиболее низкую цену договора, наименьшую сумму цен единиц товара, работы, услуги, и заявка </w:t>
            </w:r>
            <w:r>
              <w:rPr>
                <w:rFonts w:ascii="Times New Roman" w:hAnsi="Times New Roman"/>
                <w:color w:val="000000" w:themeColor="text1"/>
              </w:rPr>
              <w:t xml:space="preserve">на участие</w:t>
            </w:r>
            <w:r>
              <w:rPr>
                <w:rFonts w:ascii="Times New Roman" w:hAnsi="Times New Roman"/>
                <w:color w:val="000000" w:themeColor="text1"/>
              </w:rPr>
              <w:t xml:space="preserve"> в таком аукционе которого соответствует требованиям, установленным извещением о проведении аукциона в электронной форме.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31.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Порядок заключения договора по итогам </w:t>
            </w:r>
            <w:r>
              <w:rPr>
                <w:rFonts w:ascii="Times New Roman" w:hAnsi="Times New Roman"/>
                <w:color w:val="000000" w:themeColor="text1"/>
              </w:rPr>
              <w:t xml:space="preserve">аукциона:</w:t>
            </w:r>
            <w:r>
              <w:rPr>
                <w:rFonts w:ascii="Times New Roman" w:hAnsi="Times New Roman"/>
                <w:color w:val="000000" w:themeColor="text1"/>
                <w:highlight w:val="yellow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75" w:type="dxa"/>
            <w:vAlign w:val="center"/>
            <w:textDirection w:val="lrTb"/>
            <w:noWrap w:val="false"/>
          </w:tcPr>
          <w:p>
            <w:pPr>
              <w:ind w:right="35" w:firstLine="426"/>
              <w:jc w:val="both"/>
              <w:spacing w:after="0" w:line="240" w:lineRule="auto"/>
              <w:widowControl w:val="off"/>
              <w:tabs>
                <w:tab w:val="left" w:pos="5720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Заключение договора по результатам проведенной закупки производится после размещения на ЭП или на </w:t>
            </w:r>
            <w:r>
              <w:rPr>
                <w:rFonts w:ascii="Times New Roman" w:hAnsi="Times New Roman"/>
                <w:color w:val="000000" w:themeColor="text1"/>
              </w:rPr>
              <w:t xml:space="preserve">официальном сайте Заказчика в сети «Интернет» Итогового протокола или протокола о признании победителя закупки уклонившимся от заключения договора я.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right="35" w:firstLine="426"/>
              <w:jc w:val="both"/>
              <w:spacing w:after="0" w:line="240" w:lineRule="auto"/>
              <w:widowControl w:val="off"/>
              <w:tabs>
                <w:tab w:val="left" w:pos="5720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Договор по результатам п</w:t>
            </w:r>
            <w:r>
              <w:rPr>
                <w:rFonts w:ascii="Times New Roman" w:hAnsi="Times New Roman"/>
                <w:color w:val="000000" w:themeColor="text1"/>
              </w:rPr>
              <w:t xml:space="preserve">роведенной закупки заключается на условиях, предусмотренных извещением об осуществлении закупки, путем включения условий исполнения договора, предложенных победителем закупки (участником закупки), с которым заключается договор, в проект договора, являющийс</w:t>
            </w:r>
            <w:r>
              <w:rPr>
                <w:rFonts w:ascii="Times New Roman" w:hAnsi="Times New Roman"/>
                <w:color w:val="000000" w:themeColor="text1"/>
              </w:rPr>
              <w:t xml:space="preserve">я неотъемлемой частью извещения об осуществлении закупки. Заказчик направляет проект договора победителю закупки в срок не позднее 2 рабочих дней, следующих за днем размещения на ЭП Итогового протокола или на официальном сайте Заказчика в сети «Интернет».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right="35" w:firstLine="426"/>
              <w:jc w:val="both"/>
              <w:spacing w:after="0" w:line="240" w:lineRule="auto"/>
              <w:widowControl w:val="off"/>
              <w:tabs>
                <w:tab w:val="left" w:pos="5720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В договор включаются обязательные условие об ответственности Заказчика и поставщика (подрядчика, исполнителя) за неисполнение или ненадлежащее исполнение обязательств, предусмотренных договором. </w:t>
            </w:r>
            <w:r>
              <w:rPr>
                <w:rFonts w:ascii="Times New Roman" w:hAnsi="Times New Roman"/>
                <w:color w:val="000000" w:themeColor="text1"/>
              </w:rPr>
            </w:r>
          </w:p>
          <w:p>
            <w:pPr>
              <w:ind w:right="35" w:firstLine="426"/>
              <w:jc w:val="both"/>
              <w:spacing w:after="0" w:line="240" w:lineRule="auto"/>
              <w:widowControl w:val="off"/>
              <w:tabs>
                <w:tab w:val="left" w:pos="5720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Договор заключается только после предоставления участником закупки, побед</w:t>
            </w:r>
            <w:r>
              <w:rPr>
                <w:rFonts w:ascii="Times New Roman" w:hAnsi="Times New Roman"/>
                <w:color w:val="000000" w:themeColor="text1"/>
              </w:rPr>
              <w:t xml:space="preserve">ителем которой он признан, обеспечения исполнения договора в случае, если требование о предоставлении обеспечения исполнения договора предусмотрено извещением об осуществлении закупки. Договор заключается в срок не позднее 20 рабочих дней со дня размещения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33.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Условия, порядок и последствия отстранения от участия в аукционе в электронной форме или признания уклонившимся от заключения договора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75" w:type="dxa"/>
            <w:vAlign w:val="center"/>
            <w:textDirection w:val="lrTb"/>
            <w:noWrap w:val="false"/>
          </w:tcPr>
          <w:p>
            <w:pPr>
              <w:ind w:right="35"/>
              <w:jc w:val="both"/>
              <w:spacing w:after="0" w:line="240" w:lineRule="auto"/>
              <w:widowControl w:val="off"/>
              <w:tabs>
                <w:tab w:val="left" w:pos="5720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В случае если </w:t>
            </w:r>
            <w:r>
              <w:rPr>
                <w:rFonts w:ascii="Times New Roman" w:hAnsi="Times New Roman"/>
                <w:color w:val="000000" w:themeColor="text1"/>
              </w:rPr>
              <w:t xml:space="preserve">участник закупки, обязанный заключить договор, не предоставил Заказчику в срок, установленный Заказчиком, подписанный им договор, либо не предоставил надлежащее обеспечение исполнения договора, такой участник признается уклонившимся от заключения договора.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34.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Возможность изменения объема товаров, работ, услуг и сроков их поставки, выполнения, оказания в ходе исполнения договора: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Предусмотрено: в соответствии с проектом договора</w:t>
            </w:r>
            <w:r>
              <w:rPr>
                <w:rFonts w:ascii="Times New Roman" w:hAnsi="Times New Roman"/>
                <w:bCs/>
                <w:color w:val="000000" w:themeColor="text1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36.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93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Возможность одностороннего отказа от исполнения договора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6120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iCs/>
                <w:color w:val="000000" w:themeColor="text1"/>
              </w:rPr>
            </w:pPr>
            <w:r>
              <w:rPr>
                <w:rFonts w:ascii="Times New Roman" w:hAnsi="Times New Roman"/>
                <w:iCs/>
                <w:color w:val="000000" w:themeColor="text1"/>
              </w:rPr>
              <w:t xml:space="preserve">Расторжение договора допускается по соглашению сторон, решению суда, в случае одностороннего отказа стороны договора от исполнения договора в соответствии с гражданским законодательством Российской Федерации.</w:t>
            </w:r>
            <w:r>
              <w:rPr>
                <w:rFonts w:ascii="Times New Roman" w:hAnsi="Times New Roman"/>
                <w:iCs/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iCs/>
                <w:color w:val="000000" w:themeColor="text1"/>
              </w:rPr>
            </w:pPr>
            <w:r>
              <w:rPr>
                <w:rFonts w:ascii="Times New Roman" w:hAnsi="Times New Roman"/>
                <w:iCs/>
                <w:color w:val="000000" w:themeColor="text1"/>
              </w:rPr>
            </w:r>
            <w:r>
              <w:rPr>
                <w:rFonts w:ascii="Times New Roman" w:hAnsi="Times New Roman"/>
                <w:iCs/>
                <w:color w:val="000000" w:themeColor="text1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br w:type="page" w:clear="all"/>
      </w:r>
      <w:r>
        <w:rPr>
          <w:rFonts w:ascii="Times New Roman" w:hAnsi="Times New Roman"/>
          <w:b/>
          <w:bCs/>
          <w:color w:val="000000" w:themeColor="text1"/>
        </w:rPr>
        <w:t xml:space="preserve">РАЗДЕЛ II: ИНСТРУКЦИЯ ПО ЗАПОЛНЕНИЮ ЗАЯВКИ НА УЧАСТИЕ В АУКЦИОНЕ</w:t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Все документы, входящие в сост</w:t>
      </w:r>
      <w:r>
        <w:rPr>
          <w:rFonts w:ascii="Times New Roman" w:hAnsi="Times New Roman"/>
          <w:color w:val="000000" w:themeColor="text1"/>
        </w:rPr>
        <w:t xml:space="preserve">ав заявки на участие в аукционе, должны быть составлены на русском языке. Документы, происходящие из иностранного государства, должны быть надлежащим образом легализованы в соответствии с законодательством и международными Контрактами Российской Федерации.</w:t>
      </w:r>
      <w:r>
        <w:rPr>
          <w:rFonts w:ascii="Times New Roman" w:hAnsi="Times New Roman"/>
          <w:color w:val="000000" w:themeColor="text1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Подача заявок на участие в электронном аукционе осуществляется только лицами, получившими аккредитацию на электронной площадке.</w:t>
      </w:r>
      <w:r>
        <w:rPr>
          <w:rFonts w:ascii="Times New Roman" w:hAnsi="Times New Roman"/>
          <w:color w:val="000000" w:themeColor="text1"/>
        </w:rPr>
      </w:r>
    </w:p>
    <w:p>
      <w:pPr>
        <w:contextualSpacing/>
        <w:ind w:firstLine="567"/>
        <w:jc w:val="both"/>
        <w:spacing w:after="0" w:line="240" w:lineRule="auto"/>
        <w:widowControl w:val="off"/>
        <w:rPr>
          <w:rFonts w:ascii="Times New Roman" w:hAnsi="Times New Roman"/>
          <w:color w:val="000000" w:themeColor="text1"/>
        </w:rPr>
        <w:outlineLvl w:val="1"/>
      </w:pPr>
      <w:r>
        <w:rPr>
          <w:rFonts w:ascii="Times New Roman" w:hAnsi="Times New Roman"/>
          <w:color w:val="000000" w:themeColor="text1"/>
        </w:rPr>
        <w:t xml:space="preserve">Для участия в аукционе в электронной форме участник закупки посредством электронной площадки подает заявку, в срок, определенный документацией о проведении аукциона, по форме, установленной электронной площадкой.</w:t>
      </w:r>
      <w:r>
        <w:rPr>
          <w:rFonts w:ascii="Times New Roman" w:hAnsi="Times New Roman"/>
          <w:color w:val="000000" w:themeColor="text1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/>
          <w:color w:val="000000" w:themeColor="text1"/>
        </w:rPr>
        <w:outlineLvl w:val="1"/>
      </w:pPr>
      <w:r>
        <w:rPr>
          <w:rFonts w:ascii="Times New Roman" w:hAnsi="Times New Roman"/>
          <w:color w:val="000000" w:themeColor="text1"/>
        </w:rPr>
        <w:t xml:space="preserve">Участник</w:t>
      </w:r>
      <w:r>
        <w:rPr>
          <w:rFonts w:ascii="Times New Roman" w:hAnsi="Times New Roman"/>
          <w:color w:val="000000" w:themeColor="text1"/>
        </w:rPr>
        <w:t xml:space="preserve"> аукциона вправе подать только одну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заявок.</w:t>
      </w:r>
      <w:r>
        <w:rPr>
          <w:rFonts w:ascii="Times New Roman" w:hAnsi="Times New Roman"/>
          <w:color w:val="000000" w:themeColor="text1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Сведения, указанные в требованиях к содержанию заявки на участие в аукционе в электронной форме должны быть конкретными, не должны сопровождаться словами «эквивалент»,</w:t>
      </w:r>
      <w:r>
        <w:rPr>
          <w:rFonts w:ascii="Times New Roman" w:hAnsi="Times New Roman"/>
          <w:color w:val="000000" w:themeColor="text1"/>
        </w:rPr>
        <w:t xml:space="preserve"> «аналог», не должны иметь противоречий, не должны допускать разночтений и двусмысленных толкований, не должны быть указаны в виде диапазона или нескольких вариантов, не должны содержать слов «не менее», «не более», «не ниже», «не выше», «от», «до», «или».</w:t>
      </w:r>
      <w:r>
        <w:rPr>
          <w:rFonts w:ascii="Times New Roman" w:hAnsi="Times New Roman"/>
          <w:color w:val="000000" w:themeColor="text1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</w:r>
      <w:r>
        <w:rPr>
          <w:rFonts w:ascii="Times New Roman" w:hAnsi="Times New Roman"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br w:type="page" w:clear="all"/>
      </w:r>
      <w:r>
        <w:rPr>
          <w:rFonts w:ascii="Times New Roman" w:hAnsi="Times New Roman"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РАЗДЕЛ </w:t>
      </w:r>
      <w:r>
        <w:rPr>
          <w:rFonts w:ascii="Times New Roman" w:hAnsi="Times New Roman"/>
          <w:b/>
          <w:bCs/>
          <w:color w:val="000000" w:themeColor="text1"/>
          <w:lang w:val="en-US"/>
        </w:rPr>
        <w:t xml:space="preserve">III</w:t>
      </w:r>
      <w:r>
        <w:rPr>
          <w:rFonts w:ascii="Times New Roman" w:hAnsi="Times New Roman"/>
          <w:b/>
          <w:bCs/>
          <w:color w:val="000000" w:themeColor="text1"/>
        </w:rPr>
        <w:t xml:space="preserve">: ПРОЕКТ ДОГОВОРА</w:t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Приложено отдельным файлом</w:t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right"/>
        <w:spacing w:after="0" w:line="259" w:lineRule="auto"/>
        <w:tabs>
          <w:tab w:val="left" w:pos="700" w:leader="none"/>
        </w:tabs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/>
          <w:b/>
          <w:color w:val="000000" w:themeColor="text1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</w:r>
    </w:p>
    <w:p>
      <w:pPr>
        <w:spacing w:after="160" w:line="259" w:lineRule="auto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spacing w:after="0" w:line="200" w:lineRule="atLeast"/>
        <w:tabs>
          <w:tab w:val="left" w:pos="4251" w:leader="none"/>
        </w:tabs>
        <w:rPr>
          <w:rFonts w:ascii="Times New Roman" w:hAnsi="Times New Roman" w:eastAsia="Times New Roman" w:cs="Calibri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Calibri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Calibri"/>
          <w:b/>
          <w:bCs/>
          <w:color w:val="000000" w:themeColor="text1"/>
          <w:sz w:val="24"/>
          <w:szCs w:val="24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spacing w:after="0" w:line="240" w:lineRule="auto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br w:type="page" w:clear="all"/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РАЗДЕЛ </w:t>
      </w:r>
      <w:r>
        <w:rPr>
          <w:rFonts w:ascii="Times New Roman" w:hAnsi="Times New Roman"/>
          <w:b/>
          <w:bCs/>
          <w:color w:val="000000" w:themeColor="text1"/>
          <w:lang w:val="en-US"/>
        </w:rPr>
        <w:t xml:space="preserve">IV</w:t>
      </w:r>
      <w:r>
        <w:rPr>
          <w:rFonts w:ascii="Times New Roman" w:hAnsi="Times New Roman"/>
          <w:b/>
          <w:bCs/>
          <w:color w:val="000000" w:themeColor="text1"/>
        </w:rPr>
        <w:t xml:space="preserve">: </w:t>
      </w:r>
      <w:r>
        <w:rPr>
          <w:rFonts w:ascii="Times New Roman" w:hAnsi="Times New Roman"/>
          <w:b/>
          <w:color w:val="000000" w:themeColor="text1"/>
        </w:rPr>
        <w:t xml:space="preserve">Техническое задание</w:t>
      </w:r>
      <w:r>
        <w:rPr>
          <w:rFonts w:ascii="Times New Roman" w:hAnsi="Times New Roman"/>
          <w:b/>
          <w:color w:val="000000" w:themeColor="text1"/>
        </w:rPr>
      </w:r>
    </w:p>
    <w:p>
      <w:pPr>
        <w:contextualSpacing/>
        <w:jc w:val="right"/>
        <w:spacing w:after="0" w:line="240" w:lineRule="auto"/>
        <w:rPr>
          <w:rFonts w:ascii="Times New Roman" w:hAnsi="Times New Roman" w:eastAsia="Times New Roman"/>
          <w:color w:val="000000" w:themeColor="text1"/>
        </w:rPr>
        <w:outlineLvl w:val="0"/>
      </w:pPr>
      <w:r>
        <w:rPr>
          <w:rFonts w:ascii="Times New Roman" w:hAnsi="Times New Roman" w:eastAsia="Times New Roman"/>
          <w:color w:val="000000" w:themeColor="text1"/>
        </w:rPr>
      </w:r>
      <w:r>
        <w:rPr>
          <w:rFonts w:ascii="Times New Roman" w:hAnsi="Times New Roman" w:eastAsia="Times New Roman"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Приложено отдельным файлом</w:t>
      </w:r>
      <w:r>
        <w:rPr>
          <w:rFonts w:ascii="Times New Roman" w:hAnsi="Times New Roman"/>
          <w:b/>
          <w:bCs/>
          <w:color w:val="000000" w:themeColor="text1"/>
        </w:rPr>
      </w:r>
    </w:p>
    <w:p>
      <w:pPr>
        <w:ind w:firstLine="680"/>
        <w:jc w:val="center"/>
        <w:spacing w:after="0" w:line="0" w:lineRule="atLeast"/>
        <w:widowControl w:val="off"/>
        <w:rPr>
          <w:rFonts w:ascii="Times New Roman" w:hAnsi="Times New Roman" w:eastAsia="Times New Roman"/>
          <w:b/>
          <w:color w:val="000000" w:themeColor="text1"/>
        </w:rPr>
      </w:pPr>
      <w:r>
        <w:rPr>
          <w:rFonts w:ascii="Times New Roman" w:hAnsi="Times New Roman" w:eastAsia="Times New Roman"/>
          <w:b/>
          <w:color w:val="000000" w:themeColor="text1"/>
        </w:rPr>
      </w:r>
      <w:r>
        <w:rPr>
          <w:rFonts w:ascii="Times New Roman" w:hAnsi="Times New Roman" w:eastAsia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br w:type="page" w:clear="all"/>
      </w:r>
      <w:r>
        <w:rPr>
          <w:rFonts w:ascii="Times New Roman" w:hAnsi="Times New Roman"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 xml:space="preserve">РАЗДЕЛ V ОБОСНОВАНИЕ НАЧАЛЬНОЙ (МАКСИМАЛЬНОЙ) ЦЕНЫ ДОГОВОРА </w:t>
      </w:r>
      <w:r>
        <w:rPr>
          <w:rFonts w:ascii="Times New Roman" w:hAnsi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</w:r>
      <w:r>
        <w:rPr>
          <w:rFonts w:ascii="Times New Roman" w:hAnsi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 xml:space="preserve">Приложено отдельным файлом</w:t>
      </w:r>
      <w:r>
        <w:rPr>
          <w:rFonts w:ascii="Times New Roman" w:hAnsi="Times New Roman"/>
          <w:b/>
          <w:color w:val="000000" w:themeColor="text1"/>
        </w:rPr>
      </w:r>
    </w:p>
    <w:p>
      <w:pPr>
        <w:spacing w:after="0" w:line="240" w:lineRule="auto"/>
        <w:widowControl w:val="off"/>
        <w:tabs>
          <w:tab w:val="left" w:pos="2352" w:leader="none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</w:r>
      <w:r>
        <w:rPr>
          <w:rFonts w:ascii="Times New Roman" w:hAnsi="Times New Roman"/>
          <w:color w:val="000000" w:themeColor="text1"/>
        </w:rPr>
      </w:r>
    </w:p>
    <w:p>
      <w:pPr>
        <w:spacing w:after="0" w:line="240" w:lineRule="auto"/>
        <w:widowControl w:val="off"/>
        <w:tabs>
          <w:tab w:val="left" w:pos="2352" w:leader="none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</w:r>
      <w:r>
        <w:rPr>
          <w:rFonts w:ascii="Times New Roman" w:hAnsi="Times New Roman"/>
          <w:color w:val="000000" w:themeColor="text1"/>
        </w:rPr>
      </w:r>
    </w:p>
    <w:p>
      <w:pPr>
        <w:spacing w:after="0" w:line="240" w:lineRule="auto"/>
        <w:widowControl w:val="off"/>
        <w:tabs>
          <w:tab w:val="left" w:pos="2352" w:leader="none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</w:r>
      <w:r>
        <w:rPr>
          <w:rFonts w:ascii="Times New Roman" w:hAnsi="Times New Roman"/>
          <w:color w:val="000000" w:themeColor="text1"/>
        </w:rPr>
      </w:r>
    </w:p>
    <w:p>
      <w:pPr>
        <w:spacing w:after="0" w:line="240" w:lineRule="auto"/>
        <w:widowControl w:val="off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br w:type="page" w:clear="all"/>
      </w:r>
      <w:r>
        <w:rPr>
          <w:rFonts w:ascii="Times New Roman" w:hAnsi="Times New Roman"/>
          <w:color w:val="000000" w:themeColor="text1"/>
        </w:rPr>
      </w:r>
    </w:p>
    <w:p>
      <w:pPr>
        <w:spacing w:after="0" w:line="240" w:lineRule="auto"/>
        <w:widowControl w:val="off"/>
        <w:tabs>
          <w:tab w:val="left" w:pos="3084" w:leader="none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</w:r>
      <w:r>
        <w:rPr>
          <w:rFonts w:ascii="Times New Roman" w:hAnsi="Times New Roman"/>
          <w:color w:val="000000" w:themeColor="text1"/>
        </w:rPr>
      </w:r>
    </w:p>
    <w:p>
      <w:pPr>
        <w:jc w:val="center"/>
        <w:spacing w:after="0" w:line="240" w:lineRule="auto"/>
        <w:widowControl w:val="off"/>
        <w:tabs>
          <w:tab w:val="left" w:pos="2904" w:leader="none"/>
        </w:tabs>
        <w:rPr>
          <w:rFonts w:ascii="Times New Roman" w:hAnsi="Times New Roman" w:eastAsia="Times New Roman"/>
          <w:b/>
          <w:color w:val="000000" w:themeColor="text1"/>
        </w:rPr>
      </w:pPr>
      <w:r>
        <w:rPr>
          <w:rFonts w:ascii="Times New Roman" w:hAnsi="Times New Roman" w:eastAsia="Times New Roman"/>
          <w:b/>
          <w:color w:val="000000" w:themeColor="text1"/>
          <w:lang w:eastAsia="zh-CN"/>
        </w:rPr>
        <w:t xml:space="preserve">РАЗДЕЛ </w:t>
      </w:r>
      <w:r>
        <w:rPr>
          <w:rFonts w:ascii="Times New Roman" w:hAnsi="Times New Roman" w:eastAsia="Times New Roman"/>
          <w:b/>
          <w:color w:val="000000" w:themeColor="text1"/>
          <w:lang w:val="en-US" w:eastAsia="zh-CN"/>
        </w:rPr>
        <w:t xml:space="preserve">VI</w:t>
      </w:r>
      <w:r>
        <w:rPr>
          <w:rFonts w:ascii="Times New Roman" w:hAnsi="Times New Roman" w:eastAsia="Times New Roman"/>
          <w:b/>
          <w:color w:val="000000" w:themeColor="text1"/>
          <w:lang w:eastAsia="zh-CN"/>
        </w:rPr>
        <w:t xml:space="preserve">. РЕКОМЕНДУЕМЫЕ ФОРМЫ ДОКУМЕНТОВ В СОСТАВЕ ЗАЯВКИ НА УЧАСТИЕ В АУКЦИОНЕ В ЭЛЕКТРОННОЙ ФОРМЕ</w:t>
      </w:r>
      <w:r>
        <w:rPr>
          <w:rFonts w:ascii="Times New Roman" w:hAnsi="Times New Roman" w:eastAsia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tabs>
          <w:tab w:val="left" w:pos="2904" w:leader="none"/>
        </w:tabs>
        <w:rPr>
          <w:rFonts w:ascii="Times New Roman" w:hAnsi="Times New Roman" w:eastAsia="Times New Roman"/>
          <w:b/>
          <w:color w:val="000000" w:themeColor="text1"/>
        </w:rPr>
      </w:pPr>
      <w:r>
        <w:rPr>
          <w:rFonts w:ascii="Times New Roman" w:hAnsi="Times New Roman" w:eastAsia="Times New Roman"/>
          <w:b/>
          <w:color w:val="000000" w:themeColor="text1"/>
        </w:rPr>
      </w:r>
      <w:r>
        <w:rPr>
          <w:rFonts w:ascii="Times New Roman" w:hAnsi="Times New Roman" w:eastAsia="Times New Roman"/>
          <w:b/>
          <w:color w:val="000000" w:themeColor="text1"/>
        </w:rPr>
      </w:r>
    </w:p>
    <w:p>
      <w:pPr>
        <w:jc w:val="center"/>
        <w:spacing w:after="0" w:line="240" w:lineRule="auto"/>
        <w:widowControl w:val="off"/>
        <w:tabs>
          <w:tab w:val="left" w:pos="2904" w:leader="none"/>
        </w:tabs>
        <w:rPr>
          <w:rFonts w:ascii="Times New Roman" w:hAnsi="Times New Roman" w:eastAsia="Times New Roman"/>
          <w:b/>
          <w:color w:val="000000" w:themeColor="text1"/>
        </w:rPr>
      </w:pPr>
      <w:r>
        <w:rPr>
          <w:rFonts w:ascii="Times New Roman" w:hAnsi="Times New Roman" w:eastAsia="Times New Roman"/>
          <w:b/>
          <w:color w:val="000000" w:themeColor="text1"/>
          <w:lang w:eastAsia="zh-CN"/>
        </w:rPr>
        <w:t xml:space="preserve">Приложено отдельным файлом</w:t>
      </w:r>
      <w:r>
        <w:rPr>
          <w:rFonts w:ascii="Times New Roman" w:hAnsi="Times New Roman" w:eastAsia="Times New Roman"/>
          <w:b/>
          <w:color w:val="000000" w:themeColor="text1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Calibri"/>
          <w:i/>
          <w:color w:val="000000" w:themeColor="text1"/>
          <w:sz w:val="24"/>
          <w:szCs w:val="24"/>
          <w:highlight w:val="yellow"/>
          <w:shd w:val="clear" w:color="auto" w:fill="ffff99"/>
        </w:rPr>
      </w:pPr>
      <w:r>
        <w:rPr>
          <w:rFonts w:ascii="Times New Roman" w:hAnsi="Times New Roman" w:eastAsia="Times New Roman" w:cs="Calibri"/>
          <w:i/>
          <w:color w:val="000000" w:themeColor="text1"/>
          <w:sz w:val="24"/>
          <w:szCs w:val="24"/>
          <w:highlight w:val="yellow"/>
          <w:shd w:val="clear" w:color="auto" w:fill="ffff99"/>
        </w:rPr>
      </w:r>
      <w:r>
        <w:rPr>
          <w:rFonts w:ascii="Times New Roman" w:hAnsi="Times New Roman" w:eastAsia="Times New Roman" w:cs="Calibri"/>
          <w:i/>
          <w:color w:val="000000" w:themeColor="text1"/>
          <w:sz w:val="24"/>
          <w:szCs w:val="24"/>
          <w:highlight w:val="yellow"/>
          <w:shd w:val="clear" w:color="auto" w:fill="ffff99"/>
        </w:rPr>
      </w:r>
    </w:p>
    <w:p>
      <w:pPr>
        <w:contextualSpacing/>
        <w:ind w:firstLine="357"/>
        <w:jc w:val="center"/>
        <w:spacing w:after="0" w:line="240" w:lineRule="auto"/>
        <w:widowControl w:val="off"/>
        <w:rPr>
          <w:rFonts w:ascii="Times New Roman" w:hAnsi="Times New Roman" w:eastAsia="Times New Roman"/>
          <w:b/>
          <w:bCs/>
          <w:color w:val="000000" w:themeColor="text1"/>
        </w:rPr>
        <w:outlineLvl w:val="0"/>
      </w:pPr>
      <w:r>
        <w:rPr>
          <w:rFonts w:ascii="Times New Roman" w:hAnsi="Times New Roman" w:eastAsia="Times New Roman"/>
          <w:b/>
          <w:bCs/>
          <w:color w:val="000000" w:themeColor="text1"/>
        </w:rPr>
      </w:r>
      <w:r>
        <w:rPr>
          <w:rFonts w:ascii="Times New Roman" w:hAnsi="Times New Roman" w:eastAsia="Times New Roman"/>
          <w:b/>
          <w:bCs/>
          <w:color w:val="000000" w:themeColor="text1"/>
        </w:rPr>
      </w:r>
    </w:p>
    <w:sectPr>
      <w:headerReference w:type="first" r:id="rId10"/>
      <w:footnotePr/>
      <w:endnotePr/>
      <w:type w:val="nextPage"/>
      <w:pgSz w:w="11906" w:h="16838" w:orient="portrait"/>
      <w:pgMar w:top="822" w:right="851" w:bottom="1134" w:left="1134" w:header="567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Arial">
    <w:panose1 w:val="020B0604020202020204"/>
  </w:font>
  <w:font w:name="Segoe UI">
    <w:panose1 w:val="020B050204050402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  <w:font w:name="Calibri">
    <w:panose1 w:val="020F0502020204030204"/>
  </w:font>
  <w:font w:name="SimSun">
    <w:panose1 w:val="02000506000000020000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  <w:r/>
    </w:p>
  </w:footnote>
  <w:footnote w:type="continuationSeparator" w:id="0">
    <w:p>
      <w:pPr>
        <w:spacing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7"/>
      <w:jc w:val="center"/>
    </w:pPr>
    <w:r/>
    <w:r/>
  </w:p>
  <w:p>
    <w:pPr>
      <w:pStyle w:val="867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left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left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left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left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left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left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left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left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left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7"/>
      <w:numFmt w:val="decimal"/>
      <w:isLgl w:val="false"/>
      <w:suff w:val="space"/>
      <w:lvlText w:val="%1.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)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4" w:hanging="1134"/>
      </w:pPr>
    </w:lvl>
    <w:lvl w:ilvl="1">
      <w:start w:val="1"/>
      <w:numFmt w:val="decimal"/>
      <w:isLgl w:val="false"/>
      <w:suff w:val="tab"/>
      <w:lvlText w:val="%1.%2"/>
      <w:lvlJc w:val="left"/>
      <w:pPr>
        <w:ind w:left="2269" w:hanging="1134"/>
      </w:pPr>
    </w:lvl>
    <w:lvl w:ilvl="2">
      <w:start w:val="1"/>
      <w:numFmt w:val="decimal"/>
      <w:isLgl w:val="false"/>
      <w:suff w:val="tab"/>
      <w:lvlText w:val="%1.%2.%3"/>
      <w:lvlJc w:val="left"/>
      <w:pPr>
        <w:ind w:left="1134" w:hanging="1134"/>
      </w:pPr>
      <w:rPr>
        <w:b w:val="0"/>
      </w:rPr>
    </w:lvl>
    <w:lvl w:ilvl="3">
      <w:start w:val="1"/>
      <w:numFmt w:val="decimal"/>
      <w:isLgl w:val="false"/>
      <w:suff w:val="tab"/>
      <w:lvlText w:val="(%4)"/>
      <w:lvlJc w:val="left"/>
      <w:pPr>
        <w:ind w:left="1985" w:hanging="851"/>
      </w:pPr>
      <w:rPr>
        <w:b w:val="0"/>
        <w:i w:val="0"/>
      </w:rPr>
    </w:lvl>
    <w:lvl w:ilvl="4">
      <w:start w:val="1"/>
      <w:numFmt w:val="thaiNumbers"/>
      <w:isLgl w:val="false"/>
      <w:suff w:val="tab"/>
      <w:lvlText w:val="(%5)"/>
      <w:lvlJc w:val="left"/>
      <w:pPr>
        <w:ind w:left="2977" w:hanging="850"/>
      </w:pPr>
    </w:lvl>
    <w:lvl w:ilvl="5">
      <w:start w:val="1"/>
      <w:numFmt w:val="decimal"/>
      <w:isLgl w:val="false"/>
      <w:suff w:val="tab"/>
      <w:lvlText w:val=""/>
      <w:lvlJc w:val="left"/>
      <w:pPr>
        <w:ind w:left="1134" w:hanging="1134"/>
      </w:pPr>
      <w:rPr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6">
      <w:start w:val="1"/>
      <w:numFmt w:val="decimal"/>
      <w:isLgl w:val="false"/>
      <w:suff w:val="tab"/>
      <w:lvlText w:val=""/>
      <w:lvlJc w:val="left"/>
      <w:pPr>
        <w:ind w:left="1134" w:hanging="1134"/>
      </w:pPr>
    </w:lvl>
    <w:lvl w:ilvl="7">
      <w:start w:val="1"/>
      <w:numFmt w:val="decimal"/>
      <w:isLgl w:val="false"/>
      <w:suff w:val="tab"/>
      <w:lvlText w:val=""/>
      <w:lvlJc w:val="left"/>
      <w:pPr>
        <w:ind w:left="1134" w:hanging="1134"/>
      </w:pPr>
    </w:lvl>
    <w:lvl w:ilvl="8">
      <w:start w:val="1"/>
      <w:numFmt w:val="decimal"/>
      <w:isLgl w:val="false"/>
      <w:suff w:val="tab"/>
      <w:lvlText w:val=""/>
      <w:lvlJc w:val="left"/>
      <w:pPr>
        <w:ind w:left="1134" w:hanging="1134"/>
      </w:pPr>
    </w:lvl>
  </w:abstractNum>
  <w:abstractNum w:abstractNumId="4">
    <w:multiLevelType w:val="hybridMultilevel"/>
    <w:lvl w:ilvl="0">
      <w:start w:val="1"/>
      <w:numFmt w:val="decimal"/>
      <w:pStyle w:val="872"/>
      <w:isLgl w:val="false"/>
      <w:suff w:val="tab"/>
      <w:lvlText w:val="%1."/>
      <w:lvlJc w:val="left"/>
      <w:pPr>
        <w:ind w:left="360" w:hanging="360"/>
        <w:tabs>
          <w:tab w:val="left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432" w:hanging="432"/>
        <w:tabs>
          <w:tab w:val="left" w:pos="432" w:leader="none"/>
        </w:tabs>
      </w:pPr>
      <w:rPr>
        <w:rFonts w:cs="Times New Roman"/>
        <w:b w:val="0"/>
        <w:color w:val="auto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left" w:pos="144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left" w:pos="180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left" w:pos="252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left" w:pos="28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left" w:pos="360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left" w:pos="39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left" w:pos="46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284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0" w:default="1">
    <w:name w:val="Normal"/>
    <w:qFormat/>
    <w:pPr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681">
    <w:name w:val="Heading 1"/>
    <w:basedOn w:val="680"/>
    <w:link w:val="885"/>
    <w:qFormat/>
    <w:pPr>
      <w:jc w:val="right"/>
      <w:keepNext/>
      <w:spacing w:after="0" w:line="240" w:lineRule="auto"/>
      <w:outlineLvl w:val="0"/>
    </w:pPr>
    <w:rPr>
      <w:rFonts w:ascii="Times New Roman" w:hAnsi="Times New Roman" w:eastAsia="Times New Roman"/>
      <w:sz w:val="24"/>
      <w:szCs w:val="20"/>
      <w:lang w:eastAsia="ru-RU"/>
    </w:rPr>
  </w:style>
  <w:style w:type="paragraph" w:styleId="682">
    <w:name w:val="Heading 2"/>
    <w:basedOn w:val="680"/>
    <w:next w:val="680"/>
    <w:link w:val="892"/>
    <w:uiPriority w:val="9"/>
    <w:semiHidden/>
    <w:unhideWhenUsed/>
    <w:qFormat/>
    <w:pPr>
      <w:keepLines/>
      <w:keepNext/>
      <w:spacing w:before="40" w:after="0"/>
      <w:outlineLvl w:val="1"/>
    </w:pPr>
    <w:rPr>
      <w:rFonts w:ascii="Cambria" w:hAnsi="Cambria" w:eastAsia="Times New Roman"/>
      <w:color w:val="365f91"/>
      <w:sz w:val="26"/>
      <w:szCs w:val="26"/>
    </w:rPr>
  </w:style>
  <w:style w:type="paragraph" w:styleId="683">
    <w:name w:val="Heading 3"/>
    <w:basedOn w:val="680"/>
    <w:next w:val="680"/>
    <w:link w:val="893"/>
    <w:uiPriority w:val="9"/>
    <w:semiHidden/>
    <w:unhideWhenUsed/>
    <w:qFormat/>
    <w:pPr>
      <w:keepLines/>
      <w:keepNext/>
      <w:spacing w:before="40" w:after="0"/>
      <w:outlineLvl w:val="2"/>
    </w:pPr>
    <w:rPr>
      <w:rFonts w:ascii="Cambria" w:hAnsi="Cambria" w:eastAsia="Times New Roman"/>
      <w:color w:val="243f60"/>
      <w:sz w:val="24"/>
      <w:szCs w:val="24"/>
    </w:rPr>
  </w:style>
  <w:style w:type="paragraph" w:styleId="684">
    <w:name w:val="Heading 4"/>
    <w:basedOn w:val="680"/>
    <w:next w:val="680"/>
    <w:link w:val="705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5">
    <w:name w:val="Heading 5"/>
    <w:basedOn w:val="680"/>
    <w:next w:val="680"/>
    <w:link w:val="900"/>
    <w:uiPriority w:val="9"/>
    <w:unhideWhenUsed/>
    <w:qFormat/>
    <w:pPr>
      <w:keepLines/>
      <w:keepNext/>
      <w:spacing w:before="200" w:after="0"/>
      <w:outlineLvl w:val="4"/>
    </w:pPr>
    <w:rPr>
      <w:rFonts w:asciiTheme="majorHAnsi" w:hAnsiTheme="majorHAnsi" w:eastAsiaTheme="majorEastAsia" w:cstheme="majorBidi"/>
      <w:color w:val="244061" w:themeColor="accent1" w:themeShade="80"/>
    </w:rPr>
  </w:style>
  <w:style w:type="paragraph" w:styleId="686">
    <w:name w:val="Heading 6"/>
    <w:basedOn w:val="680"/>
    <w:next w:val="680"/>
    <w:link w:val="889"/>
    <w:uiPriority w:val="9"/>
    <w:semiHidden/>
    <w:unhideWhenUsed/>
    <w:qFormat/>
    <w:pPr>
      <w:keepLines/>
      <w:keepNext/>
      <w:spacing w:before="200" w:after="0"/>
      <w:outlineLvl w:val="5"/>
    </w:pPr>
    <w:rPr>
      <w:rFonts w:ascii="Cambria" w:hAnsi="Cambria" w:eastAsia="Times New Roman"/>
      <w:i/>
      <w:iCs/>
      <w:color w:val="243f60"/>
    </w:rPr>
  </w:style>
  <w:style w:type="paragraph" w:styleId="687">
    <w:name w:val="Heading 7"/>
    <w:basedOn w:val="680"/>
    <w:next w:val="680"/>
    <w:link w:val="708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688">
    <w:name w:val="Heading 8"/>
    <w:basedOn w:val="680"/>
    <w:next w:val="680"/>
    <w:link w:val="709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689">
    <w:name w:val="Heading 9"/>
    <w:basedOn w:val="680"/>
    <w:next w:val="680"/>
    <w:link w:val="710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0" w:default="1">
    <w:name w:val="Default Paragraph Font"/>
    <w:uiPriority w:val="1"/>
    <w:semiHidden/>
    <w:unhideWhenUsed/>
  </w:style>
  <w:style w:type="table" w:styleId="69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2" w:default="1">
    <w:name w:val="No List"/>
    <w:uiPriority w:val="99"/>
    <w:semiHidden/>
    <w:unhideWhenUsed/>
  </w:style>
  <w:style w:type="character" w:styleId="693" w:customStyle="1">
    <w:name w:val="Heading 4 Char"/>
    <w:basedOn w:val="69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4" w:customStyle="1">
    <w:name w:val="Heading 7 Char"/>
    <w:basedOn w:val="69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5" w:customStyle="1">
    <w:name w:val="Heading 8 Char"/>
    <w:basedOn w:val="69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6" w:customStyle="1">
    <w:name w:val="Heading 9 Char"/>
    <w:basedOn w:val="69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7" w:customStyle="1">
    <w:name w:val="Subtitle Char"/>
    <w:basedOn w:val="690"/>
    <w:uiPriority w:val="11"/>
    <w:rPr>
      <w:sz w:val="24"/>
      <w:szCs w:val="24"/>
    </w:rPr>
  </w:style>
  <w:style w:type="character" w:styleId="698" w:customStyle="1">
    <w:name w:val="Quote Char"/>
    <w:uiPriority w:val="29"/>
    <w:rPr>
      <w:i/>
    </w:rPr>
  </w:style>
  <w:style w:type="character" w:styleId="699" w:customStyle="1">
    <w:name w:val="Intense Quote Char"/>
    <w:uiPriority w:val="30"/>
    <w:rPr>
      <w:i/>
    </w:rPr>
  </w:style>
  <w:style w:type="character" w:styleId="700" w:customStyle="1">
    <w:name w:val="Caption Char"/>
    <w:basedOn w:val="690"/>
    <w:uiPriority w:val="35"/>
    <w:rPr>
      <w:b/>
      <w:bCs/>
      <w:color w:val="4f81bd" w:themeColor="accent1"/>
      <w:sz w:val="18"/>
      <w:szCs w:val="18"/>
    </w:rPr>
  </w:style>
  <w:style w:type="character" w:styleId="701" w:customStyle="1">
    <w:name w:val="Endnote Text Char"/>
    <w:uiPriority w:val="99"/>
    <w:rPr>
      <w:sz w:val="20"/>
    </w:rPr>
  </w:style>
  <w:style w:type="character" w:styleId="702" w:customStyle="1">
    <w:name w:val="Heading 1 Char"/>
    <w:basedOn w:val="69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3" w:customStyle="1">
    <w:name w:val="Heading 2 Char"/>
    <w:basedOn w:val="690"/>
    <w:uiPriority w:val="9"/>
    <w:rPr>
      <w:rFonts w:ascii="Liberation Sans" w:hAnsi="Liberation Sans" w:eastAsia="Liberation Sans" w:cs="Liberation Sans"/>
      <w:sz w:val="34"/>
    </w:rPr>
  </w:style>
  <w:style w:type="character" w:styleId="704" w:customStyle="1">
    <w:name w:val="Heading 3 Char"/>
    <w:basedOn w:val="69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5" w:customStyle="1">
    <w:name w:val="Заголовок 4 Знак"/>
    <w:basedOn w:val="690"/>
    <w:link w:val="68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6" w:customStyle="1">
    <w:name w:val="Heading 5 Char"/>
    <w:basedOn w:val="69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7" w:customStyle="1">
    <w:name w:val="Heading 6 Char"/>
    <w:basedOn w:val="69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8" w:customStyle="1">
    <w:name w:val="Заголовок 7 Знак"/>
    <w:basedOn w:val="690"/>
    <w:link w:val="68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9" w:customStyle="1">
    <w:name w:val="Заголовок 8 Знак"/>
    <w:basedOn w:val="690"/>
    <w:link w:val="68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0" w:customStyle="1">
    <w:name w:val="Заголовок 9 Знак"/>
    <w:basedOn w:val="690"/>
    <w:link w:val="68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1" w:customStyle="1">
    <w:name w:val="Title Char"/>
    <w:basedOn w:val="690"/>
    <w:uiPriority w:val="10"/>
    <w:rPr>
      <w:sz w:val="48"/>
      <w:szCs w:val="48"/>
    </w:rPr>
  </w:style>
  <w:style w:type="paragraph" w:styleId="712">
    <w:name w:val="Subtitle"/>
    <w:basedOn w:val="680"/>
    <w:next w:val="680"/>
    <w:link w:val="713"/>
    <w:uiPriority w:val="11"/>
    <w:qFormat/>
    <w:pPr>
      <w:spacing w:before="200"/>
    </w:pPr>
    <w:rPr>
      <w:sz w:val="24"/>
      <w:szCs w:val="24"/>
    </w:rPr>
  </w:style>
  <w:style w:type="character" w:styleId="713" w:customStyle="1">
    <w:name w:val="Подзаголовок Знак"/>
    <w:basedOn w:val="690"/>
    <w:link w:val="712"/>
    <w:uiPriority w:val="11"/>
    <w:rPr>
      <w:sz w:val="24"/>
      <w:szCs w:val="24"/>
    </w:rPr>
  </w:style>
  <w:style w:type="paragraph" w:styleId="714">
    <w:name w:val="Quote"/>
    <w:basedOn w:val="680"/>
    <w:next w:val="680"/>
    <w:link w:val="715"/>
    <w:uiPriority w:val="29"/>
    <w:qFormat/>
    <w:pPr>
      <w:ind w:left="720" w:right="720"/>
    </w:pPr>
    <w:rPr>
      <w:i/>
    </w:rPr>
  </w:style>
  <w:style w:type="character" w:styleId="715" w:customStyle="1">
    <w:name w:val="Цитата 2 Знак"/>
    <w:link w:val="714"/>
    <w:uiPriority w:val="29"/>
    <w:rPr>
      <w:i/>
    </w:rPr>
  </w:style>
  <w:style w:type="paragraph" w:styleId="716">
    <w:name w:val="Intense Quote"/>
    <w:basedOn w:val="680"/>
    <w:next w:val="680"/>
    <w:link w:val="71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 w:customStyle="1">
    <w:name w:val="Выделенная цитата Знак"/>
    <w:link w:val="716"/>
    <w:uiPriority w:val="30"/>
    <w:rPr>
      <w:i/>
    </w:rPr>
  </w:style>
  <w:style w:type="character" w:styleId="718" w:customStyle="1">
    <w:name w:val="Header Char"/>
    <w:basedOn w:val="690"/>
    <w:uiPriority w:val="99"/>
  </w:style>
  <w:style w:type="character" w:styleId="719" w:customStyle="1">
    <w:name w:val="Footer Char"/>
    <w:basedOn w:val="690"/>
    <w:uiPriority w:val="99"/>
  </w:style>
  <w:style w:type="paragraph" w:styleId="720">
    <w:name w:val="Caption"/>
    <w:basedOn w:val="680"/>
    <w:next w:val="680"/>
    <w:link w:val="721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1" w:customStyle="1">
    <w:name w:val="Название объекта Знак"/>
    <w:basedOn w:val="690"/>
    <w:link w:val="720"/>
    <w:uiPriority w:val="35"/>
    <w:rPr>
      <w:b/>
      <w:bCs/>
      <w:color w:val="4f81bd" w:themeColor="accent1"/>
      <w:sz w:val="18"/>
      <w:szCs w:val="18"/>
    </w:rPr>
  </w:style>
  <w:style w:type="table" w:styleId="722" w:customStyle="1">
    <w:name w:val="Table Grid Light"/>
    <w:basedOn w:val="69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3">
    <w:name w:val="Plain Table 1"/>
    <w:basedOn w:val="69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4">
    <w:name w:val="Plain Table 2"/>
    <w:basedOn w:val="69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5">
    <w:name w:val="Plain Table 3"/>
    <w:basedOn w:val="69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basedOn w:val="69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basedOn w:val="69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basedOn w:val="69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1"/>
    <w:basedOn w:val="69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2"/>
    <w:basedOn w:val="69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3"/>
    <w:basedOn w:val="69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4"/>
    <w:basedOn w:val="69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5"/>
    <w:basedOn w:val="69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6"/>
    <w:basedOn w:val="69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69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1"/>
    <w:basedOn w:val="69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2"/>
    <w:basedOn w:val="69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3"/>
    <w:basedOn w:val="69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4"/>
    <w:basedOn w:val="69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5"/>
    <w:basedOn w:val="69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6"/>
    <w:basedOn w:val="69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basedOn w:val="69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1"/>
    <w:basedOn w:val="69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2"/>
    <w:basedOn w:val="69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3"/>
    <w:basedOn w:val="69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4"/>
    <w:basedOn w:val="69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5"/>
    <w:basedOn w:val="69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6"/>
    <w:basedOn w:val="69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basedOn w:val="69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 w:customStyle="1">
    <w:name w:val="Grid Table 4 - Accent 1"/>
    <w:basedOn w:val="69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1" w:customStyle="1">
    <w:name w:val="Grid Table 4 - Accent 2"/>
    <w:basedOn w:val="69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2" w:customStyle="1">
    <w:name w:val="Grid Table 4 - Accent 3"/>
    <w:basedOn w:val="69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3" w:customStyle="1">
    <w:name w:val="Grid Table 4 - Accent 4"/>
    <w:basedOn w:val="69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4" w:customStyle="1">
    <w:name w:val="Grid Table 4 - Accent 5"/>
    <w:basedOn w:val="69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5" w:customStyle="1">
    <w:name w:val="Grid Table 4 - Accent 6"/>
    <w:basedOn w:val="69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6">
    <w:name w:val="Grid Table 5 Dark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- Accent 1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2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3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4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5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6"/>
    <w:basedOn w:val="69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3">
    <w:name w:val="Grid Table 6 Colorful"/>
    <w:basedOn w:val="69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4" w:customStyle="1">
    <w:name w:val="Grid Table 6 Colorful - Accent 1"/>
    <w:basedOn w:val="69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5" w:customStyle="1">
    <w:name w:val="Grid Table 6 Colorful - Accent 2"/>
    <w:basedOn w:val="69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6" w:customStyle="1">
    <w:name w:val="Grid Table 6 Colorful - Accent 3"/>
    <w:basedOn w:val="69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7" w:customStyle="1">
    <w:name w:val="Grid Table 6 Colorful - Accent 4"/>
    <w:basedOn w:val="69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8" w:customStyle="1">
    <w:name w:val="Grid Table 6 Colorful - Accent 5"/>
    <w:basedOn w:val="69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9" w:customStyle="1">
    <w:name w:val="Grid Table 6 Colorful - Accent 6"/>
    <w:basedOn w:val="69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0">
    <w:name w:val="Grid Table 7 Colorful"/>
    <w:basedOn w:val="69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1" w:customStyle="1">
    <w:name w:val="Grid Table 7 Colorful - Accent 1"/>
    <w:basedOn w:val="69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2" w:customStyle="1">
    <w:name w:val="Grid Table 7 Colorful - Accent 2"/>
    <w:basedOn w:val="69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3" w:customStyle="1">
    <w:name w:val="Grid Table 7 Colorful - Accent 3"/>
    <w:basedOn w:val="69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4" w:customStyle="1">
    <w:name w:val="Grid Table 7 Colorful - Accent 4"/>
    <w:basedOn w:val="69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5"/>
    <w:basedOn w:val="69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6"/>
    <w:basedOn w:val="69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>
    <w:name w:val="List Table 1 Light"/>
    <w:basedOn w:val="69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1"/>
    <w:basedOn w:val="691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2"/>
    <w:basedOn w:val="691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3"/>
    <w:basedOn w:val="691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4"/>
    <w:basedOn w:val="691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5"/>
    <w:basedOn w:val="691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6"/>
    <w:basedOn w:val="691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basedOn w:val="69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1"/>
    <w:basedOn w:val="69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2"/>
    <w:basedOn w:val="69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3"/>
    <w:basedOn w:val="69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4"/>
    <w:basedOn w:val="69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5"/>
    <w:basedOn w:val="69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6"/>
    <w:basedOn w:val="69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basedOn w:val="69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1"/>
    <w:basedOn w:val="69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2"/>
    <w:basedOn w:val="69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3"/>
    <w:basedOn w:val="69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4"/>
    <w:basedOn w:val="69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5"/>
    <w:basedOn w:val="69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6"/>
    <w:basedOn w:val="69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basedOn w:val="69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1"/>
    <w:basedOn w:val="69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2"/>
    <w:basedOn w:val="69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3"/>
    <w:basedOn w:val="69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4"/>
    <w:basedOn w:val="69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5"/>
    <w:basedOn w:val="69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6"/>
    <w:basedOn w:val="69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basedOn w:val="69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6" w:customStyle="1">
    <w:name w:val="List Table 5 Dark - Accent 1"/>
    <w:basedOn w:val="69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7" w:customStyle="1">
    <w:name w:val="List Table 5 Dark - Accent 2"/>
    <w:basedOn w:val="69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8" w:customStyle="1">
    <w:name w:val="List Table 5 Dark - Accent 3"/>
    <w:basedOn w:val="69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9" w:customStyle="1">
    <w:name w:val="List Table 5 Dark - Accent 4"/>
    <w:basedOn w:val="69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0" w:customStyle="1">
    <w:name w:val="List Table 5 Dark - Accent 5"/>
    <w:basedOn w:val="69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1" w:customStyle="1">
    <w:name w:val="List Table 5 Dark - Accent 6"/>
    <w:basedOn w:val="69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2">
    <w:name w:val="List Table 6 Colorful"/>
    <w:basedOn w:val="69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3" w:customStyle="1">
    <w:name w:val="List Table 6 Colorful - Accent 1"/>
    <w:basedOn w:val="69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4" w:customStyle="1">
    <w:name w:val="List Table 6 Colorful - Accent 2"/>
    <w:basedOn w:val="69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5" w:customStyle="1">
    <w:name w:val="List Table 6 Colorful - Accent 3"/>
    <w:basedOn w:val="69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6" w:customStyle="1">
    <w:name w:val="List Table 6 Colorful - Accent 4"/>
    <w:basedOn w:val="69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7" w:customStyle="1">
    <w:name w:val="List Table 6 Colorful - Accent 5"/>
    <w:basedOn w:val="69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8" w:customStyle="1">
    <w:name w:val="List Table 6 Colorful - Accent 6"/>
    <w:basedOn w:val="69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9">
    <w:name w:val="List Table 7 Colorful"/>
    <w:basedOn w:val="69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List Table 7 Colorful - Accent 1"/>
    <w:basedOn w:val="69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List Table 7 Colorful - Accent 2"/>
    <w:basedOn w:val="69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List Table 7 Colorful - Accent 3"/>
    <w:basedOn w:val="69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List Table 7 Colorful - Accent 4"/>
    <w:basedOn w:val="69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5"/>
    <w:basedOn w:val="69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6"/>
    <w:basedOn w:val="69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ned - Accent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7" w:customStyle="1">
    <w:name w:val="Lined - Accent 1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8" w:customStyle="1">
    <w:name w:val="Lined - Accent 2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9" w:customStyle="1">
    <w:name w:val="Lined - Accent 3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0" w:customStyle="1">
    <w:name w:val="Lined - Accent 4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1" w:customStyle="1">
    <w:name w:val="Lined - Accent 5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2" w:customStyle="1">
    <w:name w:val="Lined - Accent 6"/>
    <w:basedOn w:val="69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3" w:customStyle="1">
    <w:name w:val="Bordered &amp; Lined - Accent"/>
    <w:basedOn w:val="69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4" w:customStyle="1">
    <w:name w:val="Bordered &amp; Lined - Accent 1"/>
    <w:basedOn w:val="691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5" w:customStyle="1">
    <w:name w:val="Bordered &amp; Lined - Accent 2"/>
    <w:basedOn w:val="691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6" w:customStyle="1">
    <w:name w:val="Bordered &amp; Lined - Accent 3"/>
    <w:basedOn w:val="691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7" w:customStyle="1">
    <w:name w:val="Bordered &amp; Lined - Accent 4"/>
    <w:basedOn w:val="691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8" w:customStyle="1">
    <w:name w:val="Bordered &amp; Lined - Accent 5"/>
    <w:basedOn w:val="691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9" w:customStyle="1">
    <w:name w:val="Bordered &amp; Lined - Accent 6"/>
    <w:basedOn w:val="691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0" w:customStyle="1">
    <w:name w:val="Bordered"/>
    <w:basedOn w:val="69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1" w:customStyle="1">
    <w:name w:val="Bordered - Accent 1"/>
    <w:basedOn w:val="69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2" w:customStyle="1">
    <w:name w:val="Bordered - Accent 2"/>
    <w:basedOn w:val="69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3" w:customStyle="1">
    <w:name w:val="Bordered - Accent 3"/>
    <w:basedOn w:val="69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4" w:customStyle="1">
    <w:name w:val="Bordered - Accent 4"/>
    <w:basedOn w:val="69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5" w:customStyle="1">
    <w:name w:val="Bordered - Accent 5"/>
    <w:basedOn w:val="69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6" w:customStyle="1">
    <w:name w:val="Bordered - Accent 6"/>
    <w:basedOn w:val="69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47" w:customStyle="1">
    <w:name w:val="Footnote Text Char"/>
    <w:uiPriority w:val="99"/>
    <w:rPr>
      <w:sz w:val="18"/>
    </w:rPr>
  </w:style>
  <w:style w:type="paragraph" w:styleId="848">
    <w:name w:val="endnote text"/>
    <w:basedOn w:val="680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 w:customStyle="1">
    <w:name w:val="Текст концевой сноски Знак"/>
    <w:link w:val="848"/>
    <w:uiPriority w:val="99"/>
    <w:rPr>
      <w:sz w:val="20"/>
    </w:rPr>
  </w:style>
  <w:style w:type="character" w:styleId="850">
    <w:name w:val="endnote reference"/>
    <w:basedOn w:val="690"/>
    <w:uiPriority w:val="99"/>
    <w:semiHidden/>
    <w:unhideWhenUsed/>
    <w:rPr>
      <w:vertAlign w:val="superscript"/>
    </w:rPr>
  </w:style>
  <w:style w:type="paragraph" w:styleId="851">
    <w:name w:val="toc 1"/>
    <w:basedOn w:val="680"/>
    <w:next w:val="680"/>
    <w:uiPriority w:val="39"/>
    <w:unhideWhenUsed/>
    <w:pPr>
      <w:spacing w:after="57"/>
    </w:pPr>
  </w:style>
  <w:style w:type="paragraph" w:styleId="852">
    <w:name w:val="toc 2"/>
    <w:basedOn w:val="680"/>
    <w:next w:val="680"/>
    <w:uiPriority w:val="39"/>
    <w:unhideWhenUsed/>
    <w:pPr>
      <w:ind w:left="283"/>
      <w:spacing w:after="57"/>
    </w:pPr>
  </w:style>
  <w:style w:type="paragraph" w:styleId="853">
    <w:name w:val="toc 3"/>
    <w:basedOn w:val="680"/>
    <w:next w:val="680"/>
    <w:uiPriority w:val="39"/>
    <w:unhideWhenUsed/>
    <w:pPr>
      <w:ind w:left="567"/>
      <w:spacing w:after="57"/>
    </w:pPr>
  </w:style>
  <w:style w:type="paragraph" w:styleId="854">
    <w:name w:val="toc 4"/>
    <w:basedOn w:val="680"/>
    <w:next w:val="680"/>
    <w:uiPriority w:val="39"/>
    <w:unhideWhenUsed/>
    <w:pPr>
      <w:ind w:left="850"/>
      <w:spacing w:after="57"/>
    </w:pPr>
  </w:style>
  <w:style w:type="paragraph" w:styleId="855">
    <w:name w:val="toc 5"/>
    <w:basedOn w:val="680"/>
    <w:next w:val="680"/>
    <w:uiPriority w:val="39"/>
    <w:unhideWhenUsed/>
    <w:pPr>
      <w:ind w:left="1134"/>
      <w:spacing w:after="57"/>
    </w:pPr>
  </w:style>
  <w:style w:type="paragraph" w:styleId="856">
    <w:name w:val="toc 6"/>
    <w:basedOn w:val="680"/>
    <w:next w:val="680"/>
    <w:uiPriority w:val="39"/>
    <w:unhideWhenUsed/>
    <w:pPr>
      <w:ind w:left="1417"/>
      <w:spacing w:after="57"/>
    </w:pPr>
  </w:style>
  <w:style w:type="paragraph" w:styleId="857">
    <w:name w:val="toc 7"/>
    <w:basedOn w:val="680"/>
    <w:next w:val="680"/>
    <w:uiPriority w:val="39"/>
    <w:unhideWhenUsed/>
    <w:pPr>
      <w:ind w:left="1701"/>
      <w:spacing w:after="57"/>
    </w:pPr>
  </w:style>
  <w:style w:type="paragraph" w:styleId="858">
    <w:name w:val="toc 8"/>
    <w:basedOn w:val="680"/>
    <w:next w:val="680"/>
    <w:uiPriority w:val="39"/>
    <w:unhideWhenUsed/>
    <w:pPr>
      <w:ind w:left="1984"/>
      <w:spacing w:after="57"/>
    </w:pPr>
  </w:style>
  <w:style w:type="paragraph" w:styleId="859">
    <w:name w:val="toc 9"/>
    <w:basedOn w:val="680"/>
    <w:next w:val="680"/>
    <w:uiPriority w:val="39"/>
    <w:unhideWhenUsed/>
    <w:pPr>
      <w:ind w:left="2268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680"/>
    <w:next w:val="680"/>
    <w:uiPriority w:val="99"/>
    <w:unhideWhenUsed/>
    <w:pPr>
      <w:spacing w:after="0"/>
    </w:pPr>
  </w:style>
  <w:style w:type="character" w:styleId="862">
    <w:name w:val="footnote reference"/>
    <w:basedOn w:val="690"/>
    <w:uiPriority w:val="99"/>
    <w:semiHidden/>
    <w:unhideWhenUsed/>
    <w:qFormat/>
    <w:rPr>
      <w:vertAlign w:val="superscript"/>
    </w:rPr>
  </w:style>
  <w:style w:type="character" w:styleId="863">
    <w:name w:val="Hyperlink"/>
    <w:uiPriority w:val="99"/>
    <w:unhideWhenUsed/>
    <w:qFormat/>
    <w:rPr>
      <w:color w:val="0000ff"/>
      <w:u w:val="single"/>
    </w:rPr>
  </w:style>
  <w:style w:type="character" w:styleId="864">
    <w:name w:val="Strong"/>
    <w:basedOn w:val="690"/>
    <w:uiPriority w:val="22"/>
    <w:qFormat/>
    <w:rPr>
      <w:rFonts w:cs="Times New Roman"/>
      <w:b/>
    </w:rPr>
  </w:style>
  <w:style w:type="paragraph" w:styleId="865">
    <w:name w:val="Balloon Text"/>
    <w:basedOn w:val="680"/>
    <w:link w:val="89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66">
    <w:name w:val="footnote text"/>
    <w:basedOn w:val="680"/>
    <w:link w:val="887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867">
    <w:name w:val="Header"/>
    <w:basedOn w:val="680"/>
    <w:link w:val="883"/>
    <w:uiPriority w:val="99"/>
    <w:unhideWhenUsed/>
    <w:qFormat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868">
    <w:name w:val="Body Text"/>
    <w:basedOn w:val="680"/>
    <w:link w:val="896"/>
    <w:qFormat/>
    <w:pPr>
      <w:jc w:val="both"/>
      <w:spacing w:after="0" w:line="240" w:lineRule="auto"/>
    </w:pPr>
    <w:rPr>
      <w:rFonts w:ascii="Times New Roman" w:hAnsi="Times New Roman" w:eastAsia="Times New Roman"/>
      <w:sz w:val="24"/>
      <w:szCs w:val="20"/>
      <w:lang w:eastAsia="ru-RU"/>
    </w:rPr>
  </w:style>
  <w:style w:type="paragraph" w:styleId="869">
    <w:name w:val="Body Text Indent"/>
    <w:basedOn w:val="680"/>
    <w:link w:val="905"/>
    <w:unhideWhenUsed/>
    <w:qFormat/>
    <w:pPr>
      <w:ind w:left="283"/>
      <w:spacing w:after="120"/>
    </w:pPr>
  </w:style>
  <w:style w:type="paragraph" w:styleId="870">
    <w:name w:val="Title"/>
    <w:basedOn w:val="680"/>
    <w:link w:val="895"/>
    <w:qFormat/>
    <w:pPr>
      <w:jc w:val="center"/>
      <w:spacing w:after="0" w:line="240" w:lineRule="auto"/>
    </w:pPr>
    <w:rPr>
      <w:rFonts w:ascii="Times New Roman" w:hAnsi="Times New Roman" w:eastAsia="Times New Roman"/>
      <w:b/>
      <w:sz w:val="24"/>
      <w:szCs w:val="20"/>
      <w:lang w:eastAsia="ru-RU"/>
    </w:rPr>
  </w:style>
  <w:style w:type="paragraph" w:styleId="871">
    <w:name w:val="Footer"/>
    <w:basedOn w:val="680"/>
    <w:link w:val="876"/>
    <w:uiPriority w:val="99"/>
    <w:unhideWhenUsed/>
    <w:qFormat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872">
    <w:name w:val="List Number 2"/>
    <w:basedOn w:val="680"/>
    <w:uiPriority w:val="99"/>
    <w:semiHidden/>
    <w:unhideWhenUsed/>
    <w:qFormat/>
    <w:pPr>
      <w:numPr>
        <w:ilvl w:val="0"/>
        <w:numId w:val="1"/>
      </w:numPr>
      <w:contextualSpacing/>
    </w:pPr>
  </w:style>
  <w:style w:type="paragraph" w:styleId="873">
    <w:name w:val="Normal (Web)"/>
    <w:basedOn w:val="680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874">
    <w:name w:val="Body Text Indent 2"/>
    <w:basedOn w:val="680"/>
    <w:link w:val="902"/>
    <w:uiPriority w:val="99"/>
    <w:semiHidden/>
    <w:unhideWhenUsed/>
    <w:qFormat/>
    <w:pPr>
      <w:ind w:left="283"/>
      <w:spacing w:after="120" w:line="480" w:lineRule="auto"/>
    </w:pPr>
  </w:style>
  <w:style w:type="table" w:styleId="875">
    <w:name w:val="Table Grid"/>
    <w:basedOn w:val="691"/>
    <w:uiPriority w:val="59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76" w:customStyle="1">
    <w:name w:val="Нижний колонтитул Знак"/>
    <w:basedOn w:val="690"/>
    <w:link w:val="871"/>
    <w:uiPriority w:val="99"/>
    <w:qFormat/>
    <w:rPr>
      <w:rFonts w:ascii="Calibri" w:hAnsi="Calibri" w:eastAsia="Calibri" w:cs="Times New Roman"/>
    </w:rPr>
  </w:style>
  <w:style w:type="paragraph" w:styleId="877" w:customStyle="1">
    <w:name w:val="ConsPlusNormal"/>
    <w:link w:val="884"/>
    <w:qFormat/>
    <w:rPr>
      <w:rFonts w:ascii="Arial" w:hAnsi="Arial" w:eastAsia="Calibri" w:cs="Arial"/>
      <w:sz w:val="22"/>
      <w:szCs w:val="22"/>
      <w:lang w:eastAsia="en-US"/>
    </w:rPr>
  </w:style>
  <w:style w:type="paragraph" w:styleId="878">
    <w:name w:val="No Spacing"/>
    <w:uiPriority w:val="99"/>
    <w:qFormat/>
    <w:pPr>
      <w:widowControl w:val="off"/>
    </w:pPr>
    <w:rPr>
      <w:rFonts w:eastAsia="Times New Roman"/>
    </w:rPr>
  </w:style>
  <w:style w:type="paragraph" w:styleId="879">
    <w:name w:val="List Paragraph"/>
    <w:basedOn w:val="680"/>
    <w:link w:val="888"/>
    <w:uiPriority w:val="34"/>
    <w:qFormat/>
    <w:pPr>
      <w:contextualSpacing/>
      <w:ind w:left="720"/>
    </w:pPr>
    <w:rPr>
      <w:rFonts w:eastAsia="Times New Roman"/>
      <w:sz w:val="20"/>
      <w:szCs w:val="20"/>
      <w:lang w:eastAsia="ru-RU"/>
    </w:rPr>
  </w:style>
  <w:style w:type="paragraph" w:styleId="880" w:customStyle="1">
    <w:name w:val="Абзац списка1"/>
    <w:basedOn w:val="680"/>
    <w:qFormat/>
    <w:pPr>
      <w:contextualSpacing/>
      <w:ind w:left="72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881" w:customStyle="1">
    <w:name w:val="Абзац списка2"/>
    <w:basedOn w:val="680"/>
    <w:qFormat/>
    <w:pPr>
      <w:contextualSpacing/>
      <w:ind w:left="72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882" w:customStyle="1">
    <w:name w:val="Абзац списка11"/>
    <w:basedOn w:val="680"/>
    <w:qFormat/>
    <w:pPr>
      <w:contextualSpacing/>
      <w:ind w:left="72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883" w:customStyle="1">
    <w:name w:val="Верхний колонтитул Знак"/>
    <w:basedOn w:val="690"/>
    <w:link w:val="867"/>
    <w:uiPriority w:val="99"/>
    <w:qFormat/>
    <w:rPr>
      <w:rFonts w:ascii="Calibri" w:hAnsi="Calibri" w:eastAsia="Calibri" w:cs="Times New Roman"/>
    </w:rPr>
  </w:style>
  <w:style w:type="character" w:styleId="884" w:customStyle="1">
    <w:name w:val="ConsPlusNormal Знак"/>
    <w:link w:val="877"/>
    <w:qFormat/>
    <w:rPr>
      <w:rFonts w:ascii="Arial" w:hAnsi="Arial" w:cs="Arial"/>
      <w:sz w:val="22"/>
      <w:szCs w:val="22"/>
      <w:lang w:val="ru-RU" w:eastAsia="en-US" w:bidi="ar-SA"/>
    </w:rPr>
  </w:style>
  <w:style w:type="character" w:styleId="885" w:customStyle="1">
    <w:name w:val="Заголовок 1 Знак"/>
    <w:basedOn w:val="690"/>
    <w:link w:val="681"/>
    <w:qFormat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86" w:customStyle="1">
    <w:name w:val="ConsPlusNonformat"/>
    <w:qFormat/>
    <w:pPr>
      <w:widowControl w:val="off"/>
    </w:pPr>
    <w:rPr>
      <w:rFonts w:ascii="Courier New" w:hAnsi="Courier New" w:eastAsia="Times New Roman" w:cs="Courier New"/>
    </w:rPr>
  </w:style>
  <w:style w:type="character" w:styleId="887" w:customStyle="1">
    <w:name w:val="Текст сноски Знак"/>
    <w:basedOn w:val="690"/>
    <w:link w:val="866"/>
    <w:uiPriority w:val="99"/>
    <w:semiHidden/>
    <w:qFormat/>
    <w:rPr>
      <w:sz w:val="20"/>
      <w:szCs w:val="20"/>
    </w:rPr>
  </w:style>
  <w:style w:type="character" w:styleId="888" w:customStyle="1">
    <w:name w:val="Абзац списка Знак"/>
    <w:link w:val="879"/>
    <w:uiPriority w:val="34"/>
    <w:qFormat/>
    <w:rPr>
      <w:rFonts w:ascii="Calibri" w:hAnsi="Calibri" w:eastAsia="Times New Roman" w:cs="Times New Roman"/>
      <w:lang w:eastAsia="ru-RU"/>
    </w:rPr>
  </w:style>
  <w:style w:type="character" w:styleId="889" w:customStyle="1">
    <w:name w:val="Заголовок 6 Знак"/>
    <w:basedOn w:val="690"/>
    <w:link w:val="686"/>
    <w:uiPriority w:val="9"/>
    <w:qFormat/>
    <w:rPr>
      <w:rFonts w:ascii="Cambria" w:hAnsi="Cambria" w:eastAsia="Times New Roman" w:cs="Times New Roman"/>
      <w:i/>
      <w:iCs/>
      <w:color w:val="243f60"/>
    </w:rPr>
  </w:style>
  <w:style w:type="paragraph" w:styleId="890" w:customStyle="1">
    <w:name w:val="Default"/>
    <w:qFormat/>
    <w:rPr>
      <w:rFonts w:eastAsia="Calibri"/>
      <w:color w:val="000000"/>
      <w:sz w:val="24"/>
      <w:szCs w:val="24"/>
      <w:lang w:eastAsia="en-US"/>
    </w:rPr>
  </w:style>
  <w:style w:type="character" w:styleId="891" w:customStyle="1">
    <w:name w:val="apple-converted-space"/>
    <w:basedOn w:val="690"/>
    <w:qFormat/>
  </w:style>
  <w:style w:type="character" w:styleId="892" w:customStyle="1">
    <w:name w:val="Заголовок 2 Знак"/>
    <w:basedOn w:val="690"/>
    <w:link w:val="682"/>
    <w:uiPriority w:val="9"/>
    <w:semiHidden/>
    <w:qFormat/>
    <w:rPr>
      <w:rFonts w:ascii="Cambria" w:hAnsi="Cambria" w:eastAsia="Times New Roman" w:cs="Times New Roman"/>
      <w:color w:val="365f91"/>
      <w:sz w:val="26"/>
      <w:szCs w:val="26"/>
    </w:rPr>
  </w:style>
  <w:style w:type="character" w:styleId="893" w:customStyle="1">
    <w:name w:val="Заголовок 3 Знак"/>
    <w:basedOn w:val="690"/>
    <w:link w:val="683"/>
    <w:uiPriority w:val="9"/>
    <w:semiHidden/>
    <w:qFormat/>
    <w:rPr>
      <w:rFonts w:ascii="Cambria" w:hAnsi="Cambria" w:eastAsia="Times New Roman" w:cs="Times New Roman"/>
      <w:color w:val="243f60"/>
      <w:sz w:val="24"/>
      <w:szCs w:val="24"/>
    </w:rPr>
  </w:style>
  <w:style w:type="character" w:styleId="894" w:customStyle="1">
    <w:name w:val="Текст выноски Знак"/>
    <w:basedOn w:val="690"/>
    <w:link w:val="865"/>
    <w:uiPriority w:val="99"/>
    <w:semiHidden/>
    <w:qFormat/>
    <w:rPr>
      <w:rFonts w:ascii="Segoe UI" w:hAnsi="Segoe UI" w:eastAsia="Calibri" w:cs="Segoe UI"/>
      <w:sz w:val="18"/>
      <w:szCs w:val="18"/>
    </w:rPr>
  </w:style>
  <w:style w:type="character" w:styleId="895" w:customStyle="1">
    <w:name w:val="Заголовок Знак"/>
    <w:basedOn w:val="690"/>
    <w:link w:val="870"/>
    <w:qFormat/>
    <w:rPr>
      <w:rFonts w:ascii="Times New Roman" w:hAnsi="Times New Roman" w:eastAsia="Times New Roman"/>
      <w:b/>
      <w:sz w:val="24"/>
    </w:rPr>
  </w:style>
  <w:style w:type="character" w:styleId="896" w:customStyle="1">
    <w:name w:val="Основной текст Знак"/>
    <w:basedOn w:val="690"/>
    <w:link w:val="868"/>
    <w:qFormat/>
    <w:rPr>
      <w:rFonts w:ascii="Times New Roman" w:hAnsi="Times New Roman" w:eastAsia="Times New Roman"/>
      <w:sz w:val="24"/>
    </w:rPr>
  </w:style>
  <w:style w:type="paragraph" w:styleId="897" w:customStyle="1">
    <w:name w:val="ConsNormal"/>
    <w:qFormat/>
    <w:pPr>
      <w:ind w:right="19772" w:firstLine="720"/>
    </w:pPr>
    <w:rPr>
      <w:rFonts w:ascii="Arial" w:hAnsi="Arial" w:eastAsia="Times New Roman"/>
      <w:sz w:val="28"/>
    </w:rPr>
  </w:style>
  <w:style w:type="character" w:styleId="898" w:customStyle="1">
    <w:name w:val="Неразрешенное упоминание1"/>
    <w:basedOn w:val="690"/>
    <w:uiPriority w:val="99"/>
    <w:semiHidden/>
    <w:unhideWhenUsed/>
    <w:qFormat/>
    <w:rPr>
      <w:color w:val="605e5c"/>
      <w:shd w:val="clear" w:color="auto" w:fill="e1dfdd"/>
    </w:rPr>
  </w:style>
  <w:style w:type="paragraph" w:styleId="899" w:customStyle="1">
    <w:name w:val="Стиль2"/>
    <w:basedOn w:val="872"/>
    <w:uiPriority w:val="99"/>
    <w:qFormat/>
    <w:pPr>
      <w:numPr>
        <w:ilvl w:val="0"/>
        <w:numId w:val="0"/>
      </w:numPr>
      <w:contextualSpacing w:val="0"/>
      <w:ind w:left="1476" w:hanging="576"/>
      <w:jc w:val="both"/>
      <w:keepLines/>
      <w:keepNext/>
      <w:spacing w:after="60" w:line="240" w:lineRule="auto"/>
      <w:widowControl w:val="off"/>
      <w:tabs>
        <w:tab w:val="left" w:pos="1476" w:leader="none"/>
      </w:tabs>
      <w:suppressLineNumbers/>
    </w:pPr>
    <w:rPr>
      <w:rFonts w:ascii="Times New Roman" w:hAnsi="Times New Roman" w:eastAsia="Times New Roman"/>
      <w:b/>
      <w:sz w:val="24"/>
      <w:szCs w:val="20"/>
      <w:lang w:eastAsia="ru-RU"/>
    </w:rPr>
  </w:style>
  <w:style w:type="character" w:styleId="900" w:customStyle="1">
    <w:name w:val="Заголовок 5 Знак"/>
    <w:basedOn w:val="690"/>
    <w:link w:val="685"/>
    <w:uiPriority w:val="9"/>
    <w:qFormat/>
    <w:rPr>
      <w:rFonts w:asciiTheme="majorHAnsi" w:hAnsiTheme="majorHAnsi" w:eastAsiaTheme="majorEastAsia" w:cstheme="majorBidi"/>
      <w:color w:val="244061" w:themeColor="accent1" w:themeShade="80"/>
      <w:sz w:val="22"/>
      <w:szCs w:val="22"/>
      <w:lang w:eastAsia="en-US"/>
    </w:rPr>
  </w:style>
  <w:style w:type="paragraph" w:styleId="901" w:customStyle="1">
    <w:name w:val="Стиль3"/>
    <w:basedOn w:val="874"/>
    <w:uiPriority w:val="99"/>
    <w:qFormat/>
    <w:pPr>
      <w:ind w:left="1080"/>
      <w:jc w:val="both"/>
      <w:spacing w:after="0" w:line="240" w:lineRule="auto"/>
      <w:widowControl w:val="off"/>
      <w:tabs>
        <w:tab w:val="left" w:pos="1307" w:leader="none"/>
      </w:tabs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902" w:customStyle="1">
    <w:name w:val="Основной текст с отступом 2 Знак"/>
    <w:basedOn w:val="690"/>
    <w:link w:val="874"/>
    <w:uiPriority w:val="99"/>
    <w:semiHidden/>
    <w:qFormat/>
    <w:rPr>
      <w:sz w:val="22"/>
      <w:szCs w:val="22"/>
      <w:lang w:eastAsia="en-US"/>
    </w:rPr>
  </w:style>
  <w:style w:type="character" w:styleId="903" w:customStyle="1">
    <w:name w:val="Неразрешенное упоминание2"/>
    <w:basedOn w:val="690"/>
    <w:uiPriority w:val="99"/>
    <w:semiHidden/>
    <w:unhideWhenUsed/>
    <w:qFormat/>
    <w:rPr>
      <w:color w:val="605e5c"/>
      <w:shd w:val="clear" w:color="auto" w:fill="e1dfdd"/>
    </w:rPr>
  </w:style>
  <w:style w:type="character" w:styleId="904" w:customStyle="1">
    <w:name w:val="Неразрешенное упоминание3"/>
    <w:basedOn w:val="690"/>
    <w:uiPriority w:val="99"/>
    <w:semiHidden/>
    <w:unhideWhenUsed/>
    <w:qFormat/>
    <w:rPr>
      <w:color w:val="605e5c"/>
      <w:shd w:val="clear" w:color="auto" w:fill="e1dfdd"/>
    </w:rPr>
  </w:style>
  <w:style w:type="character" w:styleId="905" w:customStyle="1">
    <w:name w:val="Основной текст с отступом Знак"/>
    <w:basedOn w:val="690"/>
    <w:link w:val="869"/>
    <w:uiPriority w:val="99"/>
    <w:semiHidden/>
    <w:qFormat/>
    <w:rPr>
      <w:sz w:val="22"/>
      <w:szCs w:val="22"/>
      <w:lang w:eastAsia="en-US"/>
    </w:rPr>
  </w:style>
  <w:style w:type="table" w:styleId="906" w:customStyle="1">
    <w:name w:val="Сетка таблицы1"/>
    <w:basedOn w:val="691"/>
    <w:uiPriority w:val="39"/>
    <w:qFormat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7" w:customStyle="1">
    <w:name w:val="Сетка таблицы2"/>
    <w:basedOn w:val="691"/>
    <w:uiPriority w:val="39"/>
    <w:qFormat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8" w:customStyle="1">
    <w:name w:val="Сетка таблицы3"/>
    <w:basedOn w:val="691"/>
    <w:uiPriority w:val="39"/>
    <w:qFormat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9" w:customStyle="1">
    <w:name w:val="Сетка таблицы4"/>
    <w:basedOn w:val="691"/>
    <w:uiPriority w:val="39"/>
    <w:qFormat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0" w:customStyle="1">
    <w:name w:val="Table Paragraph"/>
    <w:basedOn w:val="680"/>
    <w:uiPriority w:val="1"/>
    <w:qFormat/>
    <w:pPr>
      <w:spacing w:after="0" w:line="240" w:lineRule="auto"/>
      <w:widowControl w:val="off"/>
    </w:pPr>
    <w:rPr>
      <w:rFonts w:ascii="Times New Roman" w:hAnsi="Times New Roman" w:eastAsia="Times New Roman"/>
      <w:lang w:eastAsia="ru-RU" w:bidi="ru-RU"/>
    </w:rPr>
  </w:style>
  <w:style w:type="character" w:styleId="911" w:customStyle="1">
    <w:name w:val="docdata"/>
    <w:basedOn w:val="690"/>
    <w:qFormat/>
  </w:style>
  <w:style w:type="paragraph" w:styleId="912" w:customStyle="1">
    <w:name w:val="Основной текст (2)6"/>
    <w:basedOn w:val="680"/>
    <w:qFormat/>
    <w:pPr>
      <w:ind w:hanging="1720"/>
      <w:jc w:val="center"/>
      <w:spacing w:line="0" w:lineRule="atLeast"/>
      <w:shd w:val="clear" w:color="auto" w:fill="ffffff"/>
    </w:pPr>
    <w:rPr>
      <w:rFonts w:ascii="Times New Roman" w:hAnsi="Times New Roman" w:eastAsia="Times New Roman"/>
      <w:sz w:val="28"/>
      <w:szCs w:val="28"/>
    </w:rPr>
  </w:style>
  <w:style w:type="table" w:styleId="913" w:customStyle="1">
    <w:name w:val="Сетка таблицы5"/>
    <w:basedOn w:val="691"/>
    <w:next w:val="875"/>
    <w:uiPriority w:val="39"/>
    <w:rPr>
      <w:rFonts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header" Target="header1.xml" /><Relationship Id="rId11" Type="http://schemas.openxmlformats.org/officeDocument/2006/relationships/customXml" Target="../customXml/item1.xml" /><Relationship Id="rId12" Type="http://schemas.openxmlformats.org/officeDocument/2006/relationships/hyperlink" Target="file:///C:\Users\&#1072;&#1076;&#1084;&#1080;&#1085;\Downloads\&#1087;.%2023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94B5EDC866034A3DB7025DC96A76A4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19AE2F-45E5-4F0C-AFAB-EAD2EC7FB90D}"/>
      </w:docPartPr>
      <w:docPartBody>
        <w:p>
          <w:pPr>
            <w:pStyle w:val="1564"/>
          </w:pPr>
          <w:r>
            <w:rPr>
              <w:rStyle w:val="1563"/>
              <w:b/>
              <w:bCs/>
            </w:rPr>
            <w:t xml:space="preserve">Место для ввода даты.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284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252">
    <w:name w:val="Heading 1 Char"/>
    <w:basedOn w:val="1391"/>
    <w:link w:val="138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254">
    <w:name w:val="Heading 2 Char"/>
    <w:basedOn w:val="1391"/>
    <w:link w:val="1383"/>
    <w:uiPriority w:val="9"/>
    <w:rPr>
      <w:rFonts w:ascii="Liberation Sans" w:hAnsi="Liberation Sans" w:eastAsia="Liberation Sans" w:cs="Liberation Sans"/>
      <w:sz w:val="34"/>
    </w:rPr>
  </w:style>
  <w:style w:type="character" w:styleId="256">
    <w:name w:val="Heading 3 Char"/>
    <w:basedOn w:val="1391"/>
    <w:link w:val="138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58">
    <w:name w:val="Heading 4 Char"/>
    <w:basedOn w:val="1391"/>
    <w:link w:val="138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60">
    <w:name w:val="Heading 5 Char"/>
    <w:basedOn w:val="1391"/>
    <w:link w:val="138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62">
    <w:name w:val="Heading 6 Char"/>
    <w:basedOn w:val="1391"/>
    <w:link w:val="138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4">
    <w:name w:val="Heading 7 Char"/>
    <w:basedOn w:val="1391"/>
    <w:link w:val="138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66">
    <w:name w:val="Heading 8 Char"/>
    <w:basedOn w:val="1391"/>
    <w:link w:val="138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68">
    <w:name w:val="Heading 9 Char"/>
    <w:basedOn w:val="1391"/>
    <w:link w:val="139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273">
    <w:name w:val="Title Char"/>
    <w:basedOn w:val="1391"/>
    <w:link w:val="1405"/>
    <w:uiPriority w:val="10"/>
    <w:rPr>
      <w:sz w:val="48"/>
      <w:szCs w:val="48"/>
    </w:rPr>
  </w:style>
  <w:style w:type="character" w:styleId="275">
    <w:name w:val="Subtitle Char"/>
    <w:basedOn w:val="1391"/>
    <w:link w:val="1407"/>
    <w:uiPriority w:val="11"/>
    <w:rPr>
      <w:sz w:val="24"/>
      <w:szCs w:val="24"/>
    </w:rPr>
  </w:style>
  <w:style w:type="character" w:styleId="277">
    <w:name w:val="Quote Char"/>
    <w:link w:val="1409"/>
    <w:uiPriority w:val="29"/>
    <w:rPr>
      <w:i/>
    </w:rPr>
  </w:style>
  <w:style w:type="character" w:styleId="279">
    <w:name w:val="Intense Quote Char"/>
    <w:link w:val="1411"/>
    <w:uiPriority w:val="30"/>
    <w:rPr>
      <w:i/>
    </w:rPr>
  </w:style>
  <w:style w:type="character" w:styleId="281">
    <w:name w:val="Header Char"/>
    <w:basedOn w:val="1391"/>
    <w:link w:val="1413"/>
    <w:uiPriority w:val="99"/>
  </w:style>
  <w:style w:type="character" w:styleId="283">
    <w:name w:val="Footer Char"/>
    <w:basedOn w:val="1391"/>
    <w:link w:val="1415"/>
    <w:uiPriority w:val="99"/>
  </w:style>
  <w:style w:type="character" w:styleId="285">
    <w:name w:val="Caption Char"/>
    <w:basedOn w:val="1391"/>
    <w:link w:val="1417"/>
    <w:uiPriority w:val="35"/>
    <w:rPr>
      <w:b/>
      <w:bCs/>
      <w:color w:val="4f81bd" w:themeColor="accent1"/>
      <w:sz w:val="18"/>
      <w:szCs w:val="18"/>
    </w:rPr>
  </w:style>
  <w:style w:type="character" w:styleId="414">
    <w:name w:val="Footnote Text Char"/>
    <w:link w:val="1546"/>
    <w:uiPriority w:val="99"/>
    <w:rPr>
      <w:sz w:val="18"/>
    </w:rPr>
  </w:style>
  <w:style w:type="character" w:styleId="417">
    <w:name w:val="Endnote Text Char"/>
    <w:link w:val="1549"/>
    <w:uiPriority w:val="99"/>
    <w:rPr>
      <w:sz w:val="20"/>
    </w:rPr>
  </w:style>
  <w:style w:type="paragraph" w:styleId="1381" w:default="1">
    <w:name w:val="Normal"/>
    <w:qFormat/>
  </w:style>
  <w:style w:type="paragraph" w:styleId="1382">
    <w:name w:val="Heading 1"/>
    <w:basedOn w:val="1381"/>
    <w:next w:val="1381"/>
    <w:link w:val="1394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1383">
    <w:name w:val="Heading 2"/>
    <w:basedOn w:val="1381"/>
    <w:next w:val="1381"/>
    <w:link w:val="1395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1384">
    <w:name w:val="Heading 3"/>
    <w:basedOn w:val="1381"/>
    <w:next w:val="1381"/>
    <w:link w:val="139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1385">
    <w:name w:val="Heading 4"/>
    <w:basedOn w:val="1381"/>
    <w:next w:val="1381"/>
    <w:link w:val="1397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1386">
    <w:name w:val="Heading 5"/>
    <w:basedOn w:val="1381"/>
    <w:next w:val="1381"/>
    <w:link w:val="139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1387">
    <w:name w:val="Heading 6"/>
    <w:basedOn w:val="1381"/>
    <w:next w:val="1381"/>
    <w:link w:val="139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</w:rPr>
  </w:style>
  <w:style w:type="paragraph" w:styleId="1388">
    <w:name w:val="Heading 7"/>
    <w:basedOn w:val="1381"/>
    <w:next w:val="1381"/>
    <w:link w:val="140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1389">
    <w:name w:val="Heading 8"/>
    <w:basedOn w:val="1381"/>
    <w:next w:val="1381"/>
    <w:link w:val="140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</w:rPr>
  </w:style>
  <w:style w:type="paragraph" w:styleId="1390">
    <w:name w:val="Heading 9"/>
    <w:basedOn w:val="1381"/>
    <w:next w:val="1381"/>
    <w:link w:val="140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1391" w:default="1">
    <w:name w:val="Default Paragraph Font"/>
    <w:uiPriority w:val="1"/>
    <w:semiHidden/>
    <w:unhideWhenUsed/>
  </w:style>
  <w:style w:type="table" w:styleId="13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393" w:default="1">
    <w:name w:val="No List"/>
    <w:uiPriority w:val="99"/>
    <w:semiHidden/>
    <w:unhideWhenUsed/>
  </w:style>
  <w:style w:type="character" w:styleId="1394" w:customStyle="1">
    <w:name w:val="Заголовок 1 Знак"/>
    <w:basedOn w:val="1391"/>
    <w:link w:val="138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395" w:customStyle="1">
    <w:name w:val="Заголовок 2 Знак"/>
    <w:basedOn w:val="1391"/>
    <w:link w:val="1383"/>
    <w:uiPriority w:val="9"/>
    <w:rPr>
      <w:rFonts w:ascii="Liberation Sans" w:hAnsi="Liberation Sans" w:eastAsia="Liberation Sans" w:cs="Liberation Sans"/>
      <w:sz w:val="34"/>
    </w:rPr>
  </w:style>
  <w:style w:type="character" w:styleId="1396" w:customStyle="1">
    <w:name w:val="Заголовок 3 Знак"/>
    <w:basedOn w:val="1391"/>
    <w:link w:val="138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1397" w:customStyle="1">
    <w:name w:val="Заголовок 4 Знак"/>
    <w:basedOn w:val="1391"/>
    <w:link w:val="138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1398" w:customStyle="1">
    <w:name w:val="Заголовок 5 Знак"/>
    <w:basedOn w:val="1391"/>
    <w:link w:val="138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1399" w:customStyle="1">
    <w:name w:val="Заголовок 6 Знак"/>
    <w:basedOn w:val="1391"/>
    <w:link w:val="138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1400" w:customStyle="1">
    <w:name w:val="Заголовок 7 Знак"/>
    <w:basedOn w:val="1391"/>
    <w:link w:val="138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1401" w:customStyle="1">
    <w:name w:val="Заголовок 8 Знак"/>
    <w:basedOn w:val="1391"/>
    <w:link w:val="138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1402" w:customStyle="1">
    <w:name w:val="Заголовок 9 Знак"/>
    <w:basedOn w:val="1391"/>
    <w:link w:val="139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1403">
    <w:name w:val="List Paragraph"/>
    <w:basedOn w:val="1381"/>
    <w:uiPriority w:val="34"/>
    <w:qFormat/>
    <w:pPr>
      <w:contextualSpacing/>
      <w:ind w:left="720"/>
    </w:pPr>
  </w:style>
  <w:style w:type="paragraph" w:styleId="1404">
    <w:name w:val="No Spacing"/>
    <w:uiPriority w:val="1"/>
    <w:qFormat/>
    <w:pPr>
      <w:spacing w:after="0" w:line="240" w:lineRule="auto"/>
    </w:pPr>
  </w:style>
  <w:style w:type="paragraph" w:styleId="1405">
    <w:name w:val="Title"/>
    <w:basedOn w:val="1381"/>
    <w:next w:val="1381"/>
    <w:link w:val="140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406" w:customStyle="1">
    <w:name w:val="Заголовок Знак"/>
    <w:basedOn w:val="1391"/>
    <w:link w:val="1405"/>
    <w:uiPriority w:val="10"/>
    <w:rPr>
      <w:sz w:val="48"/>
      <w:szCs w:val="48"/>
    </w:rPr>
  </w:style>
  <w:style w:type="paragraph" w:styleId="1407">
    <w:name w:val="Subtitle"/>
    <w:basedOn w:val="1381"/>
    <w:next w:val="1381"/>
    <w:link w:val="1408"/>
    <w:uiPriority w:val="11"/>
    <w:qFormat/>
    <w:pPr>
      <w:spacing w:before="200" w:after="200"/>
    </w:pPr>
    <w:rPr>
      <w:sz w:val="24"/>
      <w:szCs w:val="24"/>
    </w:rPr>
  </w:style>
  <w:style w:type="character" w:styleId="1408" w:customStyle="1">
    <w:name w:val="Подзаголовок Знак"/>
    <w:basedOn w:val="1391"/>
    <w:link w:val="1407"/>
    <w:uiPriority w:val="11"/>
    <w:rPr>
      <w:sz w:val="24"/>
      <w:szCs w:val="24"/>
    </w:rPr>
  </w:style>
  <w:style w:type="paragraph" w:styleId="1409">
    <w:name w:val="Quote"/>
    <w:basedOn w:val="1381"/>
    <w:next w:val="1381"/>
    <w:link w:val="1410"/>
    <w:uiPriority w:val="29"/>
    <w:qFormat/>
    <w:pPr>
      <w:ind w:left="720" w:right="720"/>
    </w:pPr>
    <w:rPr>
      <w:i/>
    </w:rPr>
  </w:style>
  <w:style w:type="character" w:styleId="1410" w:customStyle="1">
    <w:name w:val="Цитата 2 Знак"/>
    <w:link w:val="1409"/>
    <w:uiPriority w:val="29"/>
    <w:rPr>
      <w:i/>
    </w:rPr>
  </w:style>
  <w:style w:type="paragraph" w:styleId="1411">
    <w:name w:val="Intense Quote"/>
    <w:basedOn w:val="1381"/>
    <w:next w:val="1381"/>
    <w:link w:val="141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412" w:customStyle="1">
    <w:name w:val="Выделенная цитата Знак"/>
    <w:link w:val="1411"/>
    <w:uiPriority w:val="30"/>
    <w:rPr>
      <w:i/>
    </w:rPr>
  </w:style>
  <w:style w:type="paragraph" w:styleId="1413">
    <w:name w:val="Header"/>
    <w:basedOn w:val="1381"/>
    <w:link w:val="14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414" w:customStyle="1">
    <w:name w:val="Верхний колонтитул Знак"/>
    <w:basedOn w:val="1391"/>
    <w:link w:val="1413"/>
    <w:uiPriority w:val="99"/>
  </w:style>
  <w:style w:type="paragraph" w:styleId="1415">
    <w:name w:val="Footer"/>
    <w:basedOn w:val="1381"/>
    <w:link w:val="14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416" w:customStyle="1">
    <w:name w:val="Нижний колонтитул Знак"/>
    <w:basedOn w:val="1391"/>
    <w:link w:val="1415"/>
    <w:uiPriority w:val="99"/>
  </w:style>
  <w:style w:type="paragraph" w:styleId="1417">
    <w:name w:val="Caption"/>
    <w:basedOn w:val="1381"/>
    <w:next w:val="1381"/>
    <w:link w:val="1418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1418" w:customStyle="1">
    <w:name w:val="Название объекта Знак"/>
    <w:basedOn w:val="1391"/>
    <w:link w:val="1417"/>
    <w:uiPriority w:val="35"/>
    <w:rPr>
      <w:b/>
      <w:bCs/>
      <w:color w:val="4472c4" w:themeColor="accent1"/>
      <w:sz w:val="18"/>
      <w:szCs w:val="18"/>
    </w:rPr>
  </w:style>
  <w:style w:type="table" w:styleId="1419">
    <w:name w:val="Table Grid"/>
    <w:basedOn w:val="139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420" w:customStyle="1">
    <w:name w:val="Table Grid Light"/>
    <w:basedOn w:val="139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421">
    <w:name w:val="Plain Table 1"/>
    <w:basedOn w:val="139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422">
    <w:name w:val="Plain Table 2"/>
    <w:basedOn w:val="139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423">
    <w:name w:val="Plain Table 3"/>
    <w:basedOn w:val="13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424">
    <w:name w:val="Plain Table 4"/>
    <w:basedOn w:val="13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25">
    <w:name w:val="Plain Table 5"/>
    <w:basedOn w:val="13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426">
    <w:name w:val="Grid Table 1 Light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27" w:customStyle="1">
    <w:name w:val="Grid Table 1 Light - Accent 1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28" w:customStyle="1">
    <w:name w:val="Grid Table 1 Light - Accent 2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29" w:customStyle="1">
    <w:name w:val="Grid Table 1 Light - Accent 3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30" w:customStyle="1">
    <w:name w:val="Grid Table 1 Light - Accent 4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31" w:customStyle="1">
    <w:name w:val="Grid Table 1 Light - Accent 5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32" w:customStyle="1">
    <w:name w:val="Grid Table 1 Light - Accent 6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33">
    <w:name w:val="Grid Table 2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34" w:customStyle="1">
    <w:name w:val="Grid Table 2 - Accent 1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35" w:customStyle="1">
    <w:name w:val="Grid Table 2 - Accent 2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36" w:customStyle="1">
    <w:name w:val="Grid Table 2 - Accent 3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37" w:customStyle="1">
    <w:name w:val="Grid Table 2 - Accent 4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38" w:customStyle="1">
    <w:name w:val="Grid Table 2 - Accent 5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39" w:customStyle="1">
    <w:name w:val="Grid Table 2 - Accent 6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40">
    <w:name w:val="Grid Table 3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41" w:customStyle="1">
    <w:name w:val="Grid Table 3 - Accent 1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42" w:customStyle="1">
    <w:name w:val="Grid Table 3 - Accent 2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43" w:customStyle="1">
    <w:name w:val="Grid Table 3 - Accent 3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44" w:customStyle="1">
    <w:name w:val="Grid Table 3 - Accent 4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45" w:customStyle="1">
    <w:name w:val="Grid Table 3 - Accent 5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46" w:customStyle="1">
    <w:name w:val="Grid Table 3 - Accent 6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47">
    <w:name w:val="Grid Table 4"/>
    <w:basedOn w:val="13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448" w:customStyle="1">
    <w:name w:val="Grid Table 4 - Accent 1"/>
    <w:basedOn w:val="13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1449" w:customStyle="1">
    <w:name w:val="Grid Table 4 - Accent 2"/>
    <w:basedOn w:val="13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1450" w:customStyle="1">
    <w:name w:val="Grid Table 4 - Accent 3"/>
    <w:basedOn w:val="13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1451" w:customStyle="1">
    <w:name w:val="Grid Table 4 - Accent 4"/>
    <w:basedOn w:val="13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1452" w:customStyle="1">
    <w:name w:val="Grid Table 4 - Accent 5"/>
    <w:basedOn w:val="13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1453" w:customStyle="1">
    <w:name w:val="Grid Table 4 - Accent 6"/>
    <w:basedOn w:val="139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1454">
    <w:name w:val="Grid Table 5 Dark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455" w:customStyle="1">
    <w:name w:val="Grid Table 5 Dark- Accent 1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1456" w:customStyle="1">
    <w:name w:val="Grid Table 5 Dark - Accent 2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1457" w:customStyle="1">
    <w:name w:val="Grid Table 5 Dark - Accent 3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1458" w:customStyle="1">
    <w:name w:val="Grid Table 5 Dark- Accent 4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1459" w:customStyle="1">
    <w:name w:val="Grid Table 5 Dark - Accent 5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1460" w:customStyle="1">
    <w:name w:val="Grid Table 5 Dark - Accent 6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1461">
    <w:name w:val="Grid Table 6 Colorful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462" w:customStyle="1">
    <w:name w:val="Grid Table 6 Colorful - Accent 1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1463" w:customStyle="1">
    <w:name w:val="Grid Table 6 Colorful - Accent 2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1464" w:customStyle="1">
    <w:name w:val="Grid Table 6 Colorful - Accent 3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1465" w:customStyle="1">
    <w:name w:val="Grid Table 6 Colorful - Accent 4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1466" w:customStyle="1">
    <w:name w:val="Grid Table 6 Colorful - Accent 5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1467" w:customStyle="1">
    <w:name w:val="Grid Table 6 Colorful - Accent 6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1468">
    <w:name w:val="Grid Table 7 Colorful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469" w:customStyle="1">
    <w:name w:val="Grid Table 7 Colorful - Accent 1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470" w:customStyle="1">
    <w:name w:val="Grid Table 7 Colorful - Accent 2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471" w:customStyle="1">
    <w:name w:val="Grid Table 7 Colorful - Accent 3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472" w:customStyle="1">
    <w:name w:val="Grid Table 7 Colorful - Accent 4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473" w:customStyle="1">
    <w:name w:val="Grid Table 7 Colorful - Accent 5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rFonts w:ascii="Liberation Sans" w:hAnsi="Liberation Sans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474" w:customStyle="1">
    <w:name w:val="Grid Table 7 Colorful - Accent 6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475">
    <w:name w:val="List Table 1 Light"/>
    <w:basedOn w:val="13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6" w:customStyle="1">
    <w:name w:val="List Table 1 Light - Accent 1"/>
    <w:basedOn w:val="13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7" w:customStyle="1">
    <w:name w:val="List Table 1 Light - Accent 2"/>
    <w:basedOn w:val="13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8" w:customStyle="1">
    <w:name w:val="List Table 1 Light - Accent 3"/>
    <w:basedOn w:val="13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9" w:customStyle="1">
    <w:name w:val="List Table 1 Light - Accent 4"/>
    <w:basedOn w:val="13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0" w:customStyle="1">
    <w:name w:val="List Table 1 Light - Accent 5"/>
    <w:basedOn w:val="13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1" w:customStyle="1">
    <w:name w:val="List Table 1 Light - Accent 6"/>
    <w:basedOn w:val="139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2">
    <w:name w:val="List Table 2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483" w:customStyle="1">
    <w:name w:val="List Table 2 - Accent 1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1484" w:customStyle="1">
    <w:name w:val="List Table 2 - Accent 2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1485" w:customStyle="1">
    <w:name w:val="List Table 2 - Accent 3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1486" w:customStyle="1">
    <w:name w:val="List Table 2 - Accent 4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1487" w:customStyle="1">
    <w:name w:val="List Table 2 - Accent 5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1488" w:customStyle="1">
    <w:name w:val="List Table 2 - Accent 6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1489">
    <w:name w:val="List Table 3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90" w:customStyle="1">
    <w:name w:val="List Table 3 - Accent 1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91" w:customStyle="1">
    <w:name w:val="List Table 3 - Accent 2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92" w:customStyle="1">
    <w:name w:val="List Table 3 - Accent 3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93" w:customStyle="1">
    <w:name w:val="List Table 3 - Accent 4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94" w:customStyle="1">
    <w:name w:val="List Table 3 - Accent 5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95" w:customStyle="1">
    <w:name w:val="List Table 3 - Accent 6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96">
    <w:name w:val="List Table 4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97" w:customStyle="1">
    <w:name w:val="List Table 4 - Accent 1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98" w:customStyle="1">
    <w:name w:val="List Table 4 - Accent 2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99" w:customStyle="1">
    <w:name w:val="List Table 4 - Accent 3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00" w:customStyle="1">
    <w:name w:val="List Table 4 - Accent 4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01" w:customStyle="1">
    <w:name w:val="List Table 4 - Accent 5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02" w:customStyle="1">
    <w:name w:val="List Table 4 - Accent 6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03">
    <w:name w:val="List Table 5 Dark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504" w:customStyle="1">
    <w:name w:val="List Table 5 Dark - Accent 1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505" w:customStyle="1">
    <w:name w:val="List Table 5 Dark - Accent 2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506" w:customStyle="1">
    <w:name w:val="List Table 5 Dark - Accent 3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507" w:customStyle="1">
    <w:name w:val="List Table 5 Dark - Accent 4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508" w:customStyle="1">
    <w:name w:val="List Table 5 Dark - Accent 5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509" w:customStyle="1">
    <w:name w:val="List Table 5 Dark - Accent 6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510">
    <w:name w:val="List Table 6 Colorful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511" w:customStyle="1">
    <w:name w:val="List Table 6 Colorful - Accent 1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1512" w:customStyle="1">
    <w:name w:val="List Table 6 Colorful - Accent 2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1513" w:customStyle="1">
    <w:name w:val="List Table 6 Colorful - Accent 3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1514" w:customStyle="1">
    <w:name w:val="List Table 6 Colorful - Accent 4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1515" w:customStyle="1">
    <w:name w:val="List Table 6 Colorful - Accent 5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1516" w:customStyle="1">
    <w:name w:val="List Table 6 Colorful - Accent 6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1517">
    <w:name w:val="List Table 7 Colorful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518" w:customStyle="1">
    <w:name w:val="List Table 7 Colorful - Accent 1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rFonts w:ascii="Liberation Sans" w:hAnsi="Liberation Sans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519" w:customStyle="1">
    <w:name w:val="List Table 7 Colorful - Accent 2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520" w:customStyle="1">
    <w:name w:val="List Table 7 Colorful - Accent 3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521" w:customStyle="1">
    <w:name w:val="List Table 7 Colorful - Accent 4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522" w:customStyle="1">
    <w:name w:val="List Table 7 Colorful - Accent 5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523" w:customStyle="1">
    <w:name w:val="List Table 7 Colorful - Accent 6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524" w:customStyle="1">
    <w:name w:val="Lined - Accent"/>
    <w:basedOn w:val="13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525" w:customStyle="1">
    <w:name w:val="Lined - Accent 1"/>
    <w:basedOn w:val="13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526" w:customStyle="1">
    <w:name w:val="Lined - Accent 2"/>
    <w:basedOn w:val="13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527" w:customStyle="1">
    <w:name w:val="Lined - Accent 3"/>
    <w:basedOn w:val="13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528" w:customStyle="1">
    <w:name w:val="Lined - Accent 4"/>
    <w:basedOn w:val="13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529" w:customStyle="1">
    <w:name w:val="Lined - Accent 5"/>
    <w:basedOn w:val="13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530" w:customStyle="1">
    <w:name w:val="Lined - Accent 6"/>
    <w:basedOn w:val="13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531" w:customStyle="1">
    <w:name w:val="Bordered &amp; Lined - Accent"/>
    <w:basedOn w:val="13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532" w:customStyle="1">
    <w:name w:val="Bordered &amp; Lined - Accent 1"/>
    <w:basedOn w:val="13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533" w:customStyle="1">
    <w:name w:val="Bordered &amp; Lined - Accent 2"/>
    <w:basedOn w:val="13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534" w:customStyle="1">
    <w:name w:val="Bordered &amp; Lined - Accent 3"/>
    <w:basedOn w:val="13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535" w:customStyle="1">
    <w:name w:val="Bordered &amp; Lined - Accent 4"/>
    <w:basedOn w:val="13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536" w:customStyle="1">
    <w:name w:val="Bordered &amp; Lined - Accent 5"/>
    <w:basedOn w:val="13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537" w:customStyle="1">
    <w:name w:val="Bordered &amp; Lined - Accent 6"/>
    <w:basedOn w:val="139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538" w:customStyle="1">
    <w:name w:val="Bordered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539" w:customStyle="1">
    <w:name w:val="Bordered - Accent 1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1540" w:customStyle="1">
    <w:name w:val="Bordered - Accent 2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541" w:customStyle="1">
    <w:name w:val="Bordered - Accent 3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542" w:customStyle="1">
    <w:name w:val="Bordered - Accent 4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543" w:customStyle="1">
    <w:name w:val="Bordered - Accent 5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1544" w:customStyle="1">
    <w:name w:val="Bordered - Accent 6"/>
    <w:basedOn w:val="139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1545">
    <w:name w:val="Hyperlink"/>
    <w:uiPriority w:val="99"/>
    <w:unhideWhenUsed/>
    <w:rPr>
      <w:color w:val="0563c1" w:themeColor="hyperlink"/>
      <w:u w:val="single"/>
    </w:rPr>
  </w:style>
  <w:style w:type="paragraph" w:styleId="1546">
    <w:name w:val="footnote text"/>
    <w:basedOn w:val="1381"/>
    <w:link w:val="1547"/>
    <w:uiPriority w:val="99"/>
    <w:semiHidden/>
    <w:unhideWhenUsed/>
    <w:pPr>
      <w:spacing w:after="40" w:line="240" w:lineRule="auto"/>
    </w:pPr>
    <w:rPr>
      <w:sz w:val="18"/>
    </w:rPr>
  </w:style>
  <w:style w:type="character" w:styleId="1547" w:customStyle="1">
    <w:name w:val="Текст сноски Знак"/>
    <w:link w:val="1546"/>
    <w:uiPriority w:val="99"/>
    <w:rPr>
      <w:sz w:val="18"/>
    </w:rPr>
  </w:style>
  <w:style w:type="character" w:styleId="1548">
    <w:name w:val="footnote reference"/>
    <w:basedOn w:val="1391"/>
    <w:uiPriority w:val="99"/>
    <w:unhideWhenUsed/>
    <w:rPr>
      <w:vertAlign w:val="superscript"/>
    </w:rPr>
  </w:style>
  <w:style w:type="paragraph" w:styleId="1549">
    <w:name w:val="endnote text"/>
    <w:basedOn w:val="1381"/>
    <w:link w:val="1550"/>
    <w:uiPriority w:val="99"/>
    <w:semiHidden/>
    <w:unhideWhenUsed/>
    <w:pPr>
      <w:spacing w:after="0" w:line="240" w:lineRule="auto"/>
    </w:pPr>
    <w:rPr>
      <w:sz w:val="20"/>
    </w:rPr>
  </w:style>
  <w:style w:type="character" w:styleId="1550" w:customStyle="1">
    <w:name w:val="Текст концевой сноски Знак"/>
    <w:link w:val="1549"/>
    <w:uiPriority w:val="99"/>
    <w:rPr>
      <w:sz w:val="20"/>
    </w:rPr>
  </w:style>
  <w:style w:type="character" w:styleId="1551">
    <w:name w:val="endnote reference"/>
    <w:basedOn w:val="1391"/>
    <w:uiPriority w:val="99"/>
    <w:semiHidden/>
    <w:unhideWhenUsed/>
    <w:rPr>
      <w:vertAlign w:val="superscript"/>
    </w:rPr>
  </w:style>
  <w:style w:type="paragraph" w:styleId="1552">
    <w:name w:val="toc 1"/>
    <w:basedOn w:val="1381"/>
    <w:next w:val="1381"/>
    <w:uiPriority w:val="39"/>
    <w:unhideWhenUsed/>
    <w:pPr>
      <w:spacing w:after="57"/>
    </w:pPr>
  </w:style>
  <w:style w:type="paragraph" w:styleId="1553">
    <w:name w:val="toc 2"/>
    <w:basedOn w:val="1381"/>
    <w:next w:val="1381"/>
    <w:uiPriority w:val="39"/>
    <w:unhideWhenUsed/>
    <w:pPr>
      <w:ind w:left="283"/>
      <w:spacing w:after="57"/>
    </w:pPr>
  </w:style>
  <w:style w:type="paragraph" w:styleId="1554">
    <w:name w:val="toc 3"/>
    <w:basedOn w:val="1381"/>
    <w:next w:val="1381"/>
    <w:uiPriority w:val="39"/>
    <w:unhideWhenUsed/>
    <w:pPr>
      <w:ind w:left="567"/>
      <w:spacing w:after="57"/>
    </w:pPr>
  </w:style>
  <w:style w:type="paragraph" w:styleId="1555">
    <w:name w:val="toc 4"/>
    <w:basedOn w:val="1381"/>
    <w:next w:val="1381"/>
    <w:uiPriority w:val="39"/>
    <w:unhideWhenUsed/>
    <w:pPr>
      <w:ind w:left="850"/>
      <w:spacing w:after="57"/>
    </w:pPr>
  </w:style>
  <w:style w:type="paragraph" w:styleId="1556">
    <w:name w:val="toc 5"/>
    <w:basedOn w:val="1381"/>
    <w:next w:val="1381"/>
    <w:uiPriority w:val="39"/>
    <w:unhideWhenUsed/>
    <w:pPr>
      <w:ind w:left="1134"/>
      <w:spacing w:after="57"/>
    </w:pPr>
  </w:style>
  <w:style w:type="paragraph" w:styleId="1557">
    <w:name w:val="toc 6"/>
    <w:basedOn w:val="1381"/>
    <w:next w:val="1381"/>
    <w:uiPriority w:val="39"/>
    <w:unhideWhenUsed/>
    <w:pPr>
      <w:ind w:left="1417"/>
      <w:spacing w:after="57"/>
    </w:pPr>
  </w:style>
  <w:style w:type="paragraph" w:styleId="1558">
    <w:name w:val="toc 7"/>
    <w:basedOn w:val="1381"/>
    <w:next w:val="1381"/>
    <w:uiPriority w:val="39"/>
    <w:unhideWhenUsed/>
    <w:pPr>
      <w:ind w:left="1701"/>
      <w:spacing w:after="57"/>
    </w:pPr>
  </w:style>
  <w:style w:type="paragraph" w:styleId="1559">
    <w:name w:val="toc 8"/>
    <w:basedOn w:val="1381"/>
    <w:next w:val="1381"/>
    <w:uiPriority w:val="39"/>
    <w:unhideWhenUsed/>
    <w:pPr>
      <w:ind w:left="1984"/>
      <w:spacing w:after="57"/>
    </w:pPr>
  </w:style>
  <w:style w:type="paragraph" w:styleId="1560">
    <w:name w:val="toc 9"/>
    <w:basedOn w:val="1381"/>
    <w:next w:val="1381"/>
    <w:uiPriority w:val="39"/>
    <w:unhideWhenUsed/>
    <w:pPr>
      <w:ind w:left="2268"/>
      <w:spacing w:after="57"/>
    </w:pPr>
  </w:style>
  <w:style w:type="paragraph" w:styleId="1561">
    <w:name w:val="TOC Heading"/>
    <w:uiPriority w:val="39"/>
    <w:unhideWhenUsed/>
  </w:style>
  <w:style w:type="paragraph" w:styleId="1562">
    <w:name w:val="table of figures"/>
    <w:basedOn w:val="1381"/>
    <w:next w:val="1381"/>
    <w:uiPriority w:val="99"/>
    <w:unhideWhenUsed/>
    <w:pPr>
      <w:spacing w:after="0"/>
    </w:pPr>
  </w:style>
  <w:style w:type="character" w:styleId="1563">
    <w:name w:val="Placeholder Text"/>
    <w:basedOn w:val="1391"/>
    <w:uiPriority w:val="99"/>
    <w:semiHidden/>
  </w:style>
  <w:style w:type="paragraph" w:styleId="1564" w:customStyle="1">
    <w:name w:val="94B5EDC866034A3DB7025DC96A76A49E"/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25955B-1D06-408D-977A-D47BCF50F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Сизых</dc:creator>
  <cp:lastModifiedBy>PIVOVAROVA</cp:lastModifiedBy>
  <cp:revision>8</cp:revision>
  <dcterms:created xsi:type="dcterms:W3CDTF">2026-10-22T09:28:00Z</dcterms:created>
  <dcterms:modified xsi:type="dcterms:W3CDTF">2026-10-23T06:59:17Z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26AFFF569B1540A282DD8344E400945B_13</vt:lpwstr>
  </property>
</Properties>
</file>